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3FC48B" w14:textId="486BB9AE" w:rsidR="00D866BD" w:rsidRPr="009A1DF4" w:rsidRDefault="00CE74DF">
      <w:pPr>
        <w:spacing w:after="0" w:line="240" w:lineRule="auto"/>
        <w:jc w:val="center"/>
        <w:rPr>
          <w:rFonts w:ascii="Tahoma" w:eastAsia="Times New Roman" w:hAnsi="Tahoma" w:cs="Tahoma"/>
          <w:b/>
          <w:bCs/>
          <w:sz w:val="24"/>
          <w:szCs w:val="24"/>
          <w:u w:val="single"/>
          <w:lang w:eastAsia="pt-BR"/>
        </w:rPr>
      </w:pPr>
      <w:r>
        <w:rPr>
          <w:rFonts w:ascii="Tahoma" w:eastAsia="Times New Roman" w:hAnsi="Tahoma" w:cs="Tahoma"/>
          <w:b/>
          <w:bCs/>
          <w:sz w:val="24"/>
          <w:szCs w:val="24"/>
          <w:u w:val="single"/>
          <w:lang w:eastAsia="pt-BR"/>
        </w:rPr>
        <w:t>DECRETO MUNICIPAL Nº. 9.481, DE 24</w:t>
      </w:r>
      <w:r w:rsidR="006D6715" w:rsidRPr="009A1DF4">
        <w:rPr>
          <w:rFonts w:ascii="Tahoma" w:eastAsia="Times New Roman" w:hAnsi="Tahoma" w:cs="Tahoma"/>
          <w:b/>
          <w:bCs/>
          <w:sz w:val="24"/>
          <w:szCs w:val="24"/>
          <w:u w:val="single"/>
          <w:lang w:eastAsia="pt-BR"/>
        </w:rPr>
        <w:t xml:space="preserve"> DE </w:t>
      </w:r>
      <w:r w:rsidR="00C97413" w:rsidRPr="009A1DF4">
        <w:rPr>
          <w:rFonts w:ascii="Tahoma" w:eastAsia="Times New Roman" w:hAnsi="Tahoma" w:cs="Tahoma"/>
          <w:b/>
          <w:bCs/>
          <w:sz w:val="24"/>
          <w:szCs w:val="24"/>
          <w:u w:val="single"/>
          <w:lang w:eastAsia="pt-BR"/>
        </w:rPr>
        <w:t>OUTUBRO</w:t>
      </w:r>
      <w:r w:rsidR="006D6715" w:rsidRPr="009A1DF4">
        <w:rPr>
          <w:rFonts w:ascii="Tahoma" w:eastAsia="Times New Roman" w:hAnsi="Tahoma" w:cs="Tahoma"/>
          <w:b/>
          <w:bCs/>
          <w:sz w:val="24"/>
          <w:szCs w:val="24"/>
          <w:u w:val="single"/>
          <w:lang w:eastAsia="pt-BR"/>
        </w:rPr>
        <w:t xml:space="preserve"> DE </w:t>
      </w:r>
      <w:r w:rsidR="006D6715" w:rsidRPr="009A1DF4">
        <w:rPr>
          <w:rFonts w:ascii="Tahoma" w:eastAsia="Times New Roman" w:hAnsi="Tahoma" w:cs="Tahoma"/>
          <w:b/>
          <w:bCs/>
          <w:noProof/>
          <w:sz w:val="24"/>
          <w:szCs w:val="24"/>
          <w:u w:val="single"/>
          <w:lang w:eastAsia="pt-BR"/>
        </w:rPr>
        <w:t>2023</w:t>
      </w:r>
    </w:p>
    <w:p w14:paraId="4163F8E4" w14:textId="77777777" w:rsidR="00D866BD" w:rsidRPr="009A1DF4" w:rsidRDefault="00D866BD">
      <w:pPr>
        <w:spacing w:after="0" w:line="240" w:lineRule="auto"/>
        <w:jc w:val="center"/>
        <w:rPr>
          <w:rFonts w:ascii="Tahoma" w:eastAsia="Times New Roman" w:hAnsi="Tahoma" w:cs="Tahoma"/>
          <w:b/>
          <w:bCs/>
          <w:sz w:val="24"/>
          <w:szCs w:val="24"/>
          <w:u w:val="single"/>
          <w:lang w:eastAsia="pt-BR"/>
        </w:rPr>
      </w:pPr>
    </w:p>
    <w:p w14:paraId="335007FD" w14:textId="2A321C8C" w:rsidR="00D866BD" w:rsidRPr="00FB3FAE" w:rsidRDefault="006D6715" w:rsidP="00FB3FAE">
      <w:pPr>
        <w:jc w:val="both"/>
        <w:rPr>
          <w:rFonts w:ascii="Tahoma" w:hAnsi="Tahoma" w:cs="Tahoma"/>
          <w:b/>
          <w:bCs/>
          <w:sz w:val="24"/>
          <w:szCs w:val="24"/>
        </w:rPr>
      </w:pPr>
      <w:r w:rsidRPr="00FB3FAE">
        <w:rPr>
          <w:rFonts w:ascii="Tahoma" w:eastAsia="Times New Roman" w:hAnsi="Tahoma" w:cs="Tahoma"/>
          <w:b/>
          <w:bCs/>
          <w:sz w:val="24"/>
          <w:szCs w:val="24"/>
          <w:lang w:eastAsia="pt-BR"/>
        </w:rPr>
        <w:t>“</w:t>
      </w:r>
      <w:r w:rsidR="00586E43" w:rsidRPr="00FB3FAE">
        <w:rPr>
          <w:rFonts w:ascii="Tahoma" w:hAnsi="Tahoma" w:cs="Tahoma"/>
          <w:b/>
          <w:bCs/>
          <w:sz w:val="24"/>
          <w:szCs w:val="24"/>
        </w:rPr>
        <w:t>Dispõe sobre o Plano Municipal de Contingenciamento de Gastos do Poder Executivo, com o objetivo de aplicar meca</w:t>
      </w:r>
      <w:r w:rsidR="009A1DF4" w:rsidRPr="00FB3FAE">
        <w:rPr>
          <w:rFonts w:ascii="Tahoma" w:hAnsi="Tahoma" w:cs="Tahoma"/>
          <w:b/>
          <w:bCs/>
          <w:sz w:val="24"/>
          <w:szCs w:val="24"/>
        </w:rPr>
        <w:t>nismos de ajuste fiscal previsto no</w:t>
      </w:r>
      <w:r w:rsidR="00586E43" w:rsidRPr="00FB3FAE">
        <w:rPr>
          <w:rFonts w:ascii="Tahoma" w:hAnsi="Tahoma" w:cs="Tahoma"/>
          <w:b/>
          <w:bCs/>
          <w:sz w:val="24"/>
          <w:szCs w:val="24"/>
        </w:rPr>
        <w:t xml:space="preserve"> art</w:t>
      </w:r>
      <w:r w:rsidR="00B86501" w:rsidRPr="00FB3FAE">
        <w:rPr>
          <w:rFonts w:ascii="Tahoma" w:hAnsi="Tahoma" w:cs="Tahoma"/>
          <w:b/>
          <w:bCs/>
          <w:sz w:val="24"/>
          <w:szCs w:val="24"/>
        </w:rPr>
        <w:t>. 167-A da Constituição Federal.”</w:t>
      </w:r>
    </w:p>
    <w:p w14:paraId="1B902451" w14:textId="35656282" w:rsidR="00D866BD" w:rsidRPr="009A1DF4" w:rsidRDefault="00D866BD" w:rsidP="009A1DF4">
      <w:pPr>
        <w:spacing w:after="0" w:line="240" w:lineRule="auto"/>
        <w:jc w:val="both"/>
        <w:rPr>
          <w:rFonts w:ascii="Tahoma" w:eastAsia="Times New Roman" w:hAnsi="Tahoma" w:cs="Tahoma"/>
          <w:sz w:val="24"/>
          <w:szCs w:val="24"/>
          <w:lang w:eastAsia="pt-BR"/>
        </w:rPr>
      </w:pPr>
    </w:p>
    <w:p w14:paraId="03CDEAFB" w14:textId="1572BFC7" w:rsidR="00D866BD" w:rsidRPr="009A1DF4" w:rsidRDefault="006D6715">
      <w:pPr>
        <w:spacing w:after="0" w:line="240" w:lineRule="auto"/>
        <w:ind w:left="2835"/>
        <w:jc w:val="both"/>
        <w:rPr>
          <w:rFonts w:ascii="Tahoma" w:eastAsia="Times New Roman" w:hAnsi="Tahoma" w:cs="Tahoma"/>
          <w:sz w:val="24"/>
          <w:szCs w:val="24"/>
          <w:lang w:eastAsia="pt-BR"/>
        </w:rPr>
      </w:pPr>
      <w:r w:rsidRPr="009A1DF4">
        <w:rPr>
          <w:rFonts w:ascii="Tahoma" w:eastAsia="Times New Roman" w:hAnsi="Tahoma" w:cs="Tahoma"/>
          <w:sz w:val="24"/>
          <w:szCs w:val="24"/>
          <w:lang w:eastAsia="pt-BR"/>
        </w:rPr>
        <w:t xml:space="preserve">TATIANA GUILHERMINO TAZINÁZZIO, Prefeita Municipal de </w:t>
      </w:r>
      <w:r w:rsidR="00C53A64" w:rsidRPr="009A1DF4">
        <w:rPr>
          <w:rFonts w:ascii="Tahoma" w:eastAsia="Times New Roman" w:hAnsi="Tahoma" w:cs="Tahoma"/>
          <w:sz w:val="24"/>
          <w:szCs w:val="24"/>
          <w:lang w:eastAsia="pt-BR"/>
        </w:rPr>
        <w:t>Lucélia</w:t>
      </w:r>
      <w:r w:rsidRPr="009A1DF4">
        <w:rPr>
          <w:rFonts w:ascii="Tahoma" w:eastAsia="Times New Roman" w:hAnsi="Tahoma" w:cs="Tahoma"/>
          <w:sz w:val="24"/>
          <w:szCs w:val="24"/>
          <w:lang w:eastAsia="pt-BR"/>
        </w:rPr>
        <w:t>, Estado de São Paulo, usando de suas atribuições legais,</w:t>
      </w:r>
    </w:p>
    <w:p w14:paraId="0DBC5177" w14:textId="77777777" w:rsidR="00D866BD" w:rsidRPr="009A1DF4" w:rsidRDefault="00D866BD">
      <w:pPr>
        <w:spacing w:after="0" w:line="240" w:lineRule="auto"/>
        <w:ind w:left="2835"/>
        <w:jc w:val="both"/>
        <w:rPr>
          <w:rFonts w:ascii="Tahoma" w:eastAsia="Times New Roman" w:hAnsi="Tahoma" w:cs="Tahoma"/>
          <w:sz w:val="24"/>
          <w:szCs w:val="24"/>
          <w:lang w:eastAsia="pt-BR"/>
        </w:rPr>
      </w:pPr>
    </w:p>
    <w:p w14:paraId="0C8DF124" w14:textId="77777777" w:rsidR="00D866BD" w:rsidRPr="009A1DF4" w:rsidRDefault="00D866BD">
      <w:pPr>
        <w:spacing w:after="0" w:line="240" w:lineRule="auto"/>
        <w:ind w:left="2835"/>
        <w:jc w:val="both"/>
        <w:rPr>
          <w:rFonts w:ascii="Tahoma" w:eastAsia="Times New Roman" w:hAnsi="Tahoma" w:cs="Tahoma"/>
          <w:sz w:val="24"/>
          <w:szCs w:val="24"/>
          <w:lang w:eastAsia="pt-BR"/>
        </w:rPr>
      </w:pPr>
    </w:p>
    <w:p w14:paraId="0681AD50" w14:textId="2E691AA7" w:rsidR="00C80180" w:rsidRPr="009A1DF4" w:rsidRDefault="00C80180">
      <w:pPr>
        <w:spacing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CONSIDERANDO</w:t>
      </w:r>
      <w:r w:rsidRPr="009A1DF4">
        <w:rPr>
          <w:rFonts w:ascii="Tahoma" w:eastAsia="Times New Roman" w:hAnsi="Tahoma" w:cs="Tahoma"/>
          <w:bCs/>
          <w:sz w:val="24"/>
          <w:szCs w:val="24"/>
          <w:lang w:eastAsia="pt-BR"/>
        </w:rPr>
        <w:t xml:space="preserve"> a necessidade de ação planejada e transparente, prevenindo riscos e corrigindo desvios capazes de afetar o equilíbrio das contas públicas, a fim de alcançar responsabilidade na gestão fiscal</w:t>
      </w:r>
      <w:r w:rsidR="00E472DA" w:rsidRPr="009A1DF4">
        <w:rPr>
          <w:rFonts w:ascii="Tahoma" w:eastAsia="Times New Roman" w:hAnsi="Tahoma" w:cs="Tahoma"/>
          <w:bCs/>
          <w:sz w:val="24"/>
          <w:szCs w:val="24"/>
          <w:lang w:eastAsia="pt-BR"/>
        </w:rPr>
        <w:t>;</w:t>
      </w:r>
    </w:p>
    <w:p w14:paraId="2596F9E7" w14:textId="77777777" w:rsidR="00B86501" w:rsidRPr="009A1DF4" w:rsidRDefault="00C80180">
      <w:pPr>
        <w:spacing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CONSIDERANDO</w:t>
      </w:r>
      <w:r w:rsidRPr="009A1DF4">
        <w:rPr>
          <w:rFonts w:ascii="Tahoma" w:eastAsia="Times New Roman" w:hAnsi="Tahoma" w:cs="Tahoma"/>
          <w:bCs/>
          <w:sz w:val="24"/>
          <w:szCs w:val="24"/>
          <w:lang w:eastAsia="pt-BR"/>
        </w:rPr>
        <w:t xml:space="preserve"> que a redução racional dos gastos não implica uma perda de qualidade do serviço público;</w:t>
      </w:r>
    </w:p>
    <w:p w14:paraId="089826C0" w14:textId="726ACB05" w:rsidR="00C80180" w:rsidRPr="009A1DF4" w:rsidRDefault="00B86501">
      <w:pPr>
        <w:spacing w:line="360" w:lineRule="auto"/>
        <w:ind w:firstLine="2835"/>
        <w:jc w:val="both"/>
        <w:rPr>
          <w:rFonts w:ascii="Tahoma" w:eastAsia="Times New Roman" w:hAnsi="Tahoma" w:cs="Tahoma"/>
          <w:bCs/>
          <w:sz w:val="24"/>
          <w:szCs w:val="24"/>
          <w:lang w:eastAsia="pt-BR"/>
        </w:rPr>
      </w:pPr>
      <w:r w:rsidRPr="009A1DF4">
        <w:rPr>
          <w:rFonts w:ascii="Tahoma" w:hAnsi="Tahoma" w:cs="Tahoma"/>
          <w:b/>
          <w:sz w:val="24"/>
          <w:szCs w:val="24"/>
          <w:shd w:val="clear" w:color="auto" w:fill="FFFFFF"/>
        </w:rPr>
        <w:t>CONSIDERANDO</w:t>
      </w:r>
      <w:r w:rsidRPr="009A1DF4">
        <w:rPr>
          <w:rFonts w:ascii="Tahoma" w:hAnsi="Tahoma" w:cs="Tahoma"/>
          <w:sz w:val="24"/>
          <w:szCs w:val="24"/>
          <w:shd w:val="clear" w:color="auto" w:fill="FFFFFF"/>
        </w:rPr>
        <w:t xml:space="preserve"> as principais alterações promovidas pela Emenda Constitucional nº</w:t>
      </w:r>
      <w:r w:rsidR="00FB3FAE">
        <w:rPr>
          <w:rFonts w:ascii="Tahoma" w:hAnsi="Tahoma" w:cs="Tahoma"/>
          <w:sz w:val="24"/>
          <w:szCs w:val="24"/>
          <w:shd w:val="clear" w:color="auto" w:fill="FFFFFF"/>
        </w:rPr>
        <w:t>.</w:t>
      </w:r>
      <w:r w:rsidRPr="009A1DF4">
        <w:rPr>
          <w:rFonts w:ascii="Tahoma" w:hAnsi="Tahoma" w:cs="Tahoma"/>
          <w:sz w:val="24"/>
          <w:szCs w:val="24"/>
          <w:shd w:val="clear" w:color="auto" w:fill="FFFFFF"/>
        </w:rPr>
        <w:t xml:space="preserve"> 109</w:t>
      </w:r>
      <w:r w:rsidR="00FF7FF3">
        <w:rPr>
          <w:rFonts w:ascii="Tahoma" w:hAnsi="Tahoma" w:cs="Tahoma"/>
          <w:sz w:val="24"/>
          <w:szCs w:val="24"/>
          <w:shd w:val="clear" w:color="auto" w:fill="FFFFFF"/>
        </w:rPr>
        <w:t>,</w:t>
      </w:r>
      <w:r w:rsidRPr="009A1DF4">
        <w:rPr>
          <w:rFonts w:ascii="Tahoma" w:hAnsi="Tahoma" w:cs="Tahoma"/>
          <w:sz w:val="24"/>
          <w:szCs w:val="24"/>
          <w:shd w:val="clear" w:color="auto" w:fill="FFFFFF"/>
        </w:rPr>
        <w:t xml:space="preserve"> de 2021 e as medidas que deverão ser observadas pelos órgãos jurisdicionados quando da elaboração e acompanhamento da execução orçamentária;</w:t>
      </w:r>
      <w:r w:rsidR="00C80180" w:rsidRPr="009A1DF4">
        <w:rPr>
          <w:rFonts w:ascii="Tahoma" w:eastAsia="Times New Roman" w:hAnsi="Tahoma" w:cs="Tahoma"/>
          <w:bCs/>
          <w:sz w:val="24"/>
          <w:szCs w:val="24"/>
          <w:lang w:eastAsia="pt-BR"/>
        </w:rPr>
        <w:t xml:space="preserve"> </w:t>
      </w:r>
    </w:p>
    <w:p w14:paraId="0C530842" w14:textId="2186A744" w:rsidR="00C80180" w:rsidRDefault="00C80180">
      <w:pPr>
        <w:spacing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CONSIDERANDO</w:t>
      </w:r>
      <w:r w:rsidRPr="009A1DF4">
        <w:rPr>
          <w:rFonts w:ascii="Tahoma" w:eastAsia="Times New Roman" w:hAnsi="Tahoma" w:cs="Tahoma"/>
          <w:bCs/>
          <w:sz w:val="24"/>
          <w:szCs w:val="24"/>
          <w:lang w:eastAsia="pt-BR"/>
        </w:rPr>
        <w:t xml:space="preserve"> </w:t>
      </w:r>
      <w:r w:rsidR="00E472DA" w:rsidRPr="009A1DF4">
        <w:rPr>
          <w:rFonts w:ascii="Tahoma" w:eastAsia="Times New Roman" w:hAnsi="Tahoma" w:cs="Tahoma"/>
          <w:bCs/>
          <w:sz w:val="24"/>
          <w:szCs w:val="24"/>
          <w:lang w:eastAsia="pt-BR"/>
        </w:rPr>
        <w:t xml:space="preserve">que </w:t>
      </w:r>
      <w:r w:rsidRPr="009A1DF4">
        <w:rPr>
          <w:rFonts w:ascii="Tahoma" w:eastAsia="Times New Roman" w:hAnsi="Tahoma" w:cs="Tahoma"/>
          <w:bCs/>
          <w:sz w:val="24"/>
          <w:szCs w:val="24"/>
          <w:lang w:eastAsia="pt-BR"/>
        </w:rPr>
        <w:t>o disposto no</w:t>
      </w:r>
      <w:r w:rsidR="0060069D" w:rsidRPr="009A1DF4">
        <w:rPr>
          <w:rFonts w:ascii="Tahoma" w:eastAsia="Times New Roman" w:hAnsi="Tahoma" w:cs="Tahoma"/>
          <w:bCs/>
          <w:sz w:val="24"/>
          <w:szCs w:val="24"/>
          <w:lang w:eastAsia="pt-BR"/>
        </w:rPr>
        <w:t xml:space="preserve"> “caput” do</w:t>
      </w:r>
      <w:r w:rsidRPr="009A1DF4">
        <w:rPr>
          <w:rFonts w:ascii="Tahoma" w:eastAsia="Times New Roman" w:hAnsi="Tahoma" w:cs="Tahoma"/>
          <w:bCs/>
          <w:sz w:val="24"/>
          <w:szCs w:val="24"/>
          <w:lang w:eastAsia="pt-BR"/>
        </w:rPr>
        <w:t xml:space="preserve"> artigo 16</w:t>
      </w:r>
      <w:r w:rsidR="00E472DA" w:rsidRPr="009A1DF4">
        <w:rPr>
          <w:rFonts w:ascii="Tahoma" w:eastAsia="Times New Roman" w:hAnsi="Tahoma" w:cs="Tahoma"/>
          <w:bCs/>
          <w:sz w:val="24"/>
          <w:szCs w:val="24"/>
          <w:lang w:eastAsia="pt-BR"/>
        </w:rPr>
        <w:t>7-A</w:t>
      </w:r>
      <w:r w:rsidRPr="009A1DF4">
        <w:rPr>
          <w:rFonts w:ascii="Tahoma" w:eastAsia="Times New Roman" w:hAnsi="Tahoma" w:cs="Tahoma"/>
          <w:bCs/>
          <w:sz w:val="24"/>
          <w:szCs w:val="24"/>
          <w:lang w:eastAsia="pt-BR"/>
        </w:rPr>
        <w:t xml:space="preserve"> da Constituição Federal </w:t>
      </w:r>
      <w:r w:rsidR="00E472DA" w:rsidRPr="009A1DF4">
        <w:rPr>
          <w:rFonts w:ascii="Tahoma" w:eastAsia="Times New Roman" w:hAnsi="Tahoma" w:cs="Tahoma"/>
          <w:bCs/>
          <w:sz w:val="24"/>
          <w:szCs w:val="24"/>
          <w:lang w:eastAsia="pt-BR"/>
        </w:rPr>
        <w:t>informa que, apurado no período de 12 (doze) meses que a relação entre despesas correntes e receitas correntes supera 95% (noventa e cinco por cento), no âmbito do município, é facultado ao Poder Executivo e enquanto permanecer a situação, aplicar o mecanismo de ajuste fiscal de vedação</w:t>
      </w:r>
      <w:r w:rsidRPr="009A1DF4">
        <w:rPr>
          <w:rFonts w:ascii="Tahoma" w:eastAsia="Times New Roman" w:hAnsi="Tahoma" w:cs="Tahoma"/>
          <w:bCs/>
          <w:sz w:val="24"/>
          <w:szCs w:val="24"/>
          <w:lang w:eastAsia="pt-BR"/>
        </w:rPr>
        <w:t xml:space="preserve">; </w:t>
      </w:r>
    </w:p>
    <w:p w14:paraId="12372357" w14:textId="77777777" w:rsidR="00E57411" w:rsidRPr="009A1DF4" w:rsidRDefault="00E57411" w:rsidP="00E57411">
      <w:pPr>
        <w:spacing w:after="120" w:line="360" w:lineRule="auto"/>
        <w:ind w:firstLine="2835"/>
        <w:jc w:val="both"/>
        <w:rPr>
          <w:rFonts w:ascii="Tahoma" w:eastAsia="Times New Roman" w:hAnsi="Tahoma" w:cs="Tahoma"/>
          <w:bCs/>
          <w:sz w:val="24"/>
          <w:szCs w:val="24"/>
          <w:lang w:eastAsia="pt-BR"/>
        </w:rPr>
      </w:pPr>
      <w:bookmarkStart w:id="0" w:name="_GoBack"/>
      <w:bookmarkEnd w:id="0"/>
    </w:p>
    <w:p w14:paraId="67CDCE89" w14:textId="2D57A85A" w:rsidR="00C80180" w:rsidRPr="009A1DF4" w:rsidRDefault="0060069D">
      <w:pPr>
        <w:spacing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 xml:space="preserve">CONSIDERANDO </w:t>
      </w:r>
      <w:r w:rsidRPr="009A1DF4">
        <w:rPr>
          <w:rFonts w:ascii="Tahoma" w:eastAsia="Times New Roman" w:hAnsi="Tahoma" w:cs="Tahoma"/>
          <w:sz w:val="24"/>
          <w:szCs w:val="24"/>
          <w:lang w:eastAsia="pt-BR"/>
        </w:rPr>
        <w:t xml:space="preserve">o Alerta do Tribunal de Contas do Estado de São Paulo, referente ao mês de agosto/2023, gerado em 29/09/2023 às </w:t>
      </w:r>
      <w:proofErr w:type="gramStart"/>
      <w:r w:rsidRPr="009A1DF4">
        <w:rPr>
          <w:rFonts w:ascii="Tahoma" w:eastAsia="Times New Roman" w:hAnsi="Tahoma" w:cs="Tahoma"/>
          <w:sz w:val="24"/>
          <w:szCs w:val="24"/>
          <w:lang w:eastAsia="pt-BR"/>
        </w:rPr>
        <w:t>20:42</w:t>
      </w:r>
      <w:proofErr w:type="gramEnd"/>
      <w:r w:rsidRPr="009A1DF4">
        <w:rPr>
          <w:rFonts w:ascii="Tahoma" w:eastAsia="Times New Roman" w:hAnsi="Tahoma" w:cs="Tahoma"/>
          <w:sz w:val="24"/>
          <w:szCs w:val="24"/>
          <w:lang w:eastAsia="pt-BR"/>
        </w:rPr>
        <w:t>:55, informando que o município de Lucélia superou o limite do artigo 167-A (95%) da Constituição Federal, e alertando para que se tome medidas cabíveis conforme estabelece a legislação aplicável à situação</w:t>
      </w:r>
      <w:r w:rsidR="00FB3FAE">
        <w:rPr>
          <w:rFonts w:ascii="Tahoma" w:eastAsia="Times New Roman" w:hAnsi="Tahoma" w:cs="Tahoma"/>
          <w:sz w:val="24"/>
          <w:szCs w:val="24"/>
          <w:lang w:eastAsia="pt-BR"/>
        </w:rPr>
        <w:t>;</w:t>
      </w:r>
      <w:r w:rsidR="00C80180" w:rsidRPr="009A1DF4">
        <w:rPr>
          <w:rFonts w:ascii="Tahoma" w:eastAsia="Times New Roman" w:hAnsi="Tahoma" w:cs="Tahoma"/>
          <w:bCs/>
          <w:sz w:val="24"/>
          <w:szCs w:val="24"/>
          <w:lang w:eastAsia="pt-BR"/>
        </w:rPr>
        <w:t xml:space="preserve"> </w:t>
      </w:r>
    </w:p>
    <w:p w14:paraId="72E268F5" w14:textId="7AA5CA40" w:rsidR="00D866BD" w:rsidRDefault="00C80180" w:rsidP="008166AE">
      <w:pPr>
        <w:spacing w:after="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lastRenderedPageBreak/>
        <w:t>CONSIDERANDO</w:t>
      </w:r>
      <w:r w:rsidRPr="009A1DF4">
        <w:rPr>
          <w:rFonts w:ascii="Tahoma" w:eastAsia="Times New Roman" w:hAnsi="Tahoma" w:cs="Tahoma"/>
          <w:bCs/>
          <w:sz w:val="24"/>
          <w:szCs w:val="24"/>
          <w:lang w:eastAsia="pt-BR"/>
        </w:rPr>
        <w:t>, finalmente, a necessidade de manter a responsabilidade na gestão fiscal do município, que se dá, dentre outras ações, com o equilíbrio entre a receita e a despesas públicas;</w:t>
      </w:r>
      <w:proofErr w:type="gramStart"/>
      <w:r w:rsidRPr="009A1DF4">
        <w:rPr>
          <w:rFonts w:ascii="Tahoma" w:eastAsia="Times New Roman" w:hAnsi="Tahoma" w:cs="Tahoma"/>
          <w:bCs/>
          <w:sz w:val="24"/>
          <w:szCs w:val="24"/>
          <w:lang w:eastAsia="pt-BR"/>
        </w:rPr>
        <w:t xml:space="preserve">    </w:t>
      </w:r>
    </w:p>
    <w:p w14:paraId="2321F31C" w14:textId="77777777" w:rsidR="008166AE" w:rsidRPr="009A1DF4" w:rsidRDefault="008166AE" w:rsidP="008166AE">
      <w:pPr>
        <w:spacing w:after="0" w:line="360" w:lineRule="auto"/>
        <w:ind w:firstLine="2835"/>
        <w:jc w:val="both"/>
        <w:rPr>
          <w:rFonts w:ascii="Tahoma" w:eastAsia="Times New Roman" w:hAnsi="Tahoma" w:cs="Tahoma"/>
          <w:bCs/>
          <w:sz w:val="24"/>
          <w:szCs w:val="24"/>
          <w:lang w:eastAsia="pt-BR"/>
        </w:rPr>
      </w:pPr>
      <w:proofErr w:type="gramEnd"/>
    </w:p>
    <w:p w14:paraId="72E16846" w14:textId="77777777" w:rsidR="00D866BD" w:rsidRDefault="006D6715" w:rsidP="008166AE">
      <w:pPr>
        <w:spacing w:after="0" w:line="360" w:lineRule="auto"/>
        <w:ind w:firstLine="2835"/>
        <w:jc w:val="both"/>
        <w:rPr>
          <w:rFonts w:ascii="Tahoma" w:eastAsia="Times New Roman" w:hAnsi="Tahoma" w:cs="Tahoma"/>
          <w:b/>
          <w:sz w:val="24"/>
          <w:szCs w:val="24"/>
          <w:u w:val="single"/>
          <w:lang w:eastAsia="pt-BR"/>
        </w:rPr>
      </w:pPr>
      <w:r w:rsidRPr="009A1DF4">
        <w:rPr>
          <w:rFonts w:ascii="Tahoma" w:eastAsia="Times New Roman" w:hAnsi="Tahoma" w:cs="Tahoma"/>
          <w:b/>
          <w:sz w:val="24"/>
          <w:szCs w:val="24"/>
          <w:u w:val="single"/>
          <w:lang w:eastAsia="pt-BR"/>
        </w:rPr>
        <w:t>D E C R E T A:</w:t>
      </w:r>
    </w:p>
    <w:p w14:paraId="68784E97" w14:textId="77777777" w:rsidR="008166AE" w:rsidRPr="009A1DF4" w:rsidRDefault="008166AE" w:rsidP="008166AE">
      <w:pPr>
        <w:spacing w:after="0" w:line="360" w:lineRule="auto"/>
        <w:ind w:firstLine="2835"/>
        <w:jc w:val="both"/>
        <w:rPr>
          <w:rFonts w:ascii="Tahoma" w:eastAsia="Times New Roman" w:hAnsi="Tahoma" w:cs="Tahoma"/>
          <w:b/>
          <w:sz w:val="24"/>
          <w:szCs w:val="24"/>
          <w:u w:val="single"/>
          <w:lang w:eastAsia="pt-BR"/>
        </w:rPr>
      </w:pPr>
    </w:p>
    <w:p w14:paraId="6987C830" w14:textId="1D929A3D" w:rsidR="00E472DA" w:rsidRDefault="004A35C7" w:rsidP="008166AE">
      <w:pPr>
        <w:spacing w:after="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Art</w:t>
      </w:r>
      <w:r w:rsidR="00E472DA" w:rsidRPr="009A1DF4">
        <w:rPr>
          <w:rFonts w:ascii="Tahoma" w:eastAsia="Times New Roman" w:hAnsi="Tahoma" w:cs="Tahoma"/>
          <w:b/>
          <w:sz w:val="24"/>
          <w:szCs w:val="24"/>
          <w:lang w:eastAsia="pt-BR"/>
        </w:rPr>
        <w:t>igo 1º -</w:t>
      </w:r>
      <w:r w:rsidR="009A1DF4" w:rsidRPr="009A1DF4">
        <w:rPr>
          <w:rFonts w:ascii="Tahoma" w:eastAsia="Times New Roman" w:hAnsi="Tahoma" w:cs="Tahoma"/>
          <w:bCs/>
          <w:sz w:val="24"/>
          <w:szCs w:val="24"/>
          <w:lang w:eastAsia="pt-BR"/>
        </w:rPr>
        <w:t xml:space="preserve"> Fica determinado</w:t>
      </w:r>
      <w:r w:rsidR="00E472DA" w:rsidRPr="009A1DF4">
        <w:rPr>
          <w:rFonts w:ascii="Tahoma" w:eastAsia="Times New Roman" w:hAnsi="Tahoma" w:cs="Tahoma"/>
          <w:bCs/>
          <w:sz w:val="24"/>
          <w:szCs w:val="24"/>
          <w:lang w:eastAsia="pt-BR"/>
        </w:rPr>
        <w:t>, no âmbito do Poder Executivo Municipal,</w:t>
      </w:r>
      <w:r w:rsidR="009A1DF4" w:rsidRPr="009A1DF4">
        <w:rPr>
          <w:rFonts w:ascii="Tahoma" w:eastAsia="Times New Roman" w:hAnsi="Tahoma" w:cs="Tahoma"/>
          <w:bCs/>
          <w:sz w:val="24"/>
          <w:szCs w:val="24"/>
          <w:lang w:eastAsia="pt-BR"/>
        </w:rPr>
        <w:t xml:space="preserve"> enquanto perdurar a situação de superação do limite previsto no</w:t>
      </w:r>
      <w:r w:rsidR="0060069D" w:rsidRPr="009A1DF4">
        <w:rPr>
          <w:rFonts w:ascii="Tahoma" w:eastAsia="Times New Roman" w:hAnsi="Tahoma" w:cs="Tahoma"/>
          <w:bCs/>
          <w:sz w:val="24"/>
          <w:szCs w:val="24"/>
          <w:lang w:eastAsia="pt-BR"/>
        </w:rPr>
        <w:t xml:space="preserve"> “caput” do artigo </w:t>
      </w:r>
      <w:r w:rsidR="00136E1B" w:rsidRPr="009A1DF4">
        <w:rPr>
          <w:rFonts w:ascii="Tahoma" w:eastAsia="Times New Roman" w:hAnsi="Tahoma" w:cs="Tahoma"/>
          <w:bCs/>
          <w:sz w:val="24"/>
          <w:szCs w:val="24"/>
          <w:lang w:eastAsia="pt-BR"/>
        </w:rPr>
        <w:t>167-A da Constituição Federal</w:t>
      </w:r>
      <w:r w:rsidR="009A1DF4" w:rsidRPr="009A1DF4">
        <w:rPr>
          <w:rFonts w:ascii="Tahoma" w:eastAsia="Times New Roman" w:hAnsi="Tahoma" w:cs="Tahoma"/>
          <w:bCs/>
          <w:sz w:val="24"/>
          <w:szCs w:val="24"/>
          <w:lang w:eastAsia="pt-BR"/>
        </w:rPr>
        <w:t>, a aplicação do mecanismo de ajuste fiscal de vedação das seguintes despesas:</w:t>
      </w:r>
    </w:p>
    <w:p w14:paraId="6A6BD364" w14:textId="77777777" w:rsidR="008166AE" w:rsidRPr="009A1DF4" w:rsidRDefault="008166AE" w:rsidP="008166AE">
      <w:pPr>
        <w:spacing w:after="0" w:line="360" w:lineRule="auto"/>
        <w:ind w:firstLine="2835"/>
        <w:jc w:val="both"/>
        <w:rPr>
          <w:rFonts w:ascii="Tahoma" w:eastAsia="Times New Roman" w:hAnsi="Tahoma" w:cs="Tahoma"/>
          <w:bCs/>
          <w:sz w:val="24"/>
          <w:szCs w:val="24"/>
          <w:lang w:eastAsia="pt-BR"/>
        </w:rPr>
      </w:pPr>
    </w:p>
    <w:p w14:paraId="2C039002" w14:textId="7BD96543"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I -</w:t>
      </w:r>
      <w:r w:rsidRPr="009A1DF4">
        <w:rPr>
          <w:rFonts w:ascii="Tahoma" w:eastAsia="Times New Roman" w:hAnsi="Tahoma" w:cs="Tahoma"/>
          <w:bCs/>
          <w:sz w:val="24"/>
          <w:szCs w:val="24"/>
          <w:lang w:eastAsia="pt-BR"/>
        </w:rPr>
        <w:t xml:space="preserve"> </w:t>
      </w:r>
      <w:r w:rsidR="001856EF" w:rsidRPr="009A1DF4">
        <w:rPr>
          <w:rFonts w:ascii="Tahoma" w:eastAsia="Times New Roman" w:hAnsi="Tahoma" w:cs="Tahoma"/>
          <w:bCs/>
          <w:sz w:val="24"/>
          <w:szCs w:val="24"/>
          <w:lang w:eastAsia="pt-BR"/>
        </w:rPr>
        <w:t>c</w:t>
      </w:r>
      <w:r w:rsidRPr="009A1DF4">
        <w:rPr>
          <w:rFonts w:ascii="Tahoma" w:eastAsia="Times New Roman" w:hAnsi="Tahoma" w:cs="Tahoma"/>
          <w:bCs/>
          <w:sz w:val="24"/>
          <w:szCs w:val="24"/>
          <w:lang w:eastAsia="pt-BR"/>
        </w:rPr>
        <w:t xml:space="preserve">oncessão, a qualquer título, de vantagem, aumento, reajuste ou adequação de remuneração de membros de Poder ou de órgão, de servidores e empregados públicos, exceto dos derivados de sentença judicial transitada em julgado ou de determinação legal anterior ao início da aplicação das medidas de que trata este artigo; </w:t>
      </w:r>
    </w:p>
    <w:p w14:paraId="0216D0F3" w14:textId="1DAE9653"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II -</w:t>
      </w:r>
      <w:r w:rsidRPr="009A1DF4">
        <w:rPr>
          <w:rFonts w:ascii="Tahoma" w:eastAsia="Times New Roman" w:hAnsi="Tahoma" w:cs="Tahoma"/>
          <w:bCs/>
          <w:sz w:val="24"/>
          <w:szCs w:val="24"/>
          <w:lang w:eastAsia="pt-BR"/>
        </w:rPr>
        <w:t xml:space="preserve"> criação de cargo, emprego ou função que implique aumento de despesa; </w:t>
      </w:r>
    </w:p>
    <w:p w14:paraId="7AE9BC3C" w14:textId="77777777" w:rsidR="001856EF"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III -</w:t>
      </w:r>
      <w:r w:rsidRPr="009A1DF4">
        <w:rPr>
          <w:rFonts w:ascii="Tahoma" w:eastAsia="Times New Roman" w:hAnsi="Tahoma" w:cs="Tahoma"/>
          <w:bCs/>
          <w:sz w:val="24"/>
          <w:szCs w:val="24"/>
          <w:lang w:eastAsia="pt-BR"/>
        </w:rPr>
        <w:t xml:space="preserve"> alteração de estrutura de carreira que implique aumento de despesa; </w:t>
      </w:r>
    </w:p>
    <w:p w14:paraId="50D3CB5D" w14:textId="34BA8096"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IV -</w:t>
      </w:r>
      <w:r w:rsidRPr="009A1DF4">
        <w:rPr>
          <w:rFonts w:ascii="Tahoma" w:eastAsia="Times New Roman" w:hAnsi="Tahoma" w:cs="Tahoma"/>
          <w:bCs/>
          <w:sz w:val="24"/>
          <w:szCs w:val="24"/>
          <w:lang w:eastAsia="pt-BR"/>
        </w:rPr>
        <w:t xml:space="preserve"> admissão ou contratação de pessoal, a qualquer título, ressalvadas: </w:t>
      </w:r>
    </w:p>
    <w:p w14:paraId="340AA8E1" w14:textId="71E3C079"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a)</w:t>
      </w:r>
      <w:r w:rsidRPr="009A1DF4">
        <w:rPr>
          <w:rFonts w:ascii="Tahoma" w:eastAsia="Times New Roman" w:hAnsi="Tahoma" w:cs="Tahoma"/>
          <w:bCs/>
          <w:sz w:val="24"/>
          <w:szCs w:val="24"/>
          <w:lang w:eastAsia="pt-BR"/>
        </w:rPr>
        <w:t xml:space="preserve"> as reposições de cargos de chefia e de direção que não acarretem aumento de despesa; </w:t>
      </w:r>
    </w:p>
    <w:p w14:paraId="7416D5AC" w14:textId="495BD4D2"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b)</w:t>
      </w:r>
      <w:r w:rsidRPr="009A1DF4">
        <w:rPr>
          <w:rFonts w:ascii="Tahoma" w:eastAsia="Times New Roman" w:hAnsi="Tahoma" w:cs="Tahoma"/>
          <w:bCs/>
          <w:sz w:val="24"/>
          <w:szCs w:val="24"/>
          <w:lang w:eastAsia="pt-BR"/>
        </w:rPr>
        <w:t xml:space="preserve"> as reposições decorrentes de vacâncias de cargos efetivos ou vitalícios; </w:t>
      </w:r>
    </w:p>
    <w:p w14:paraId="237C5762" w14:textId="095F7D1F" w:rsidR="004A35C7"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c)</w:t>
      </w:r>
      <w:r w:rsidRPr="009A1DF4">
        <w:rPr>
          <w:rFonts w:ascii="Tahoma" w:eastAsia="Times New Roman" w:hAnsi="Tahoma" w:cs="Tahoma"/>
          <w:bCs/>
          <w:sz w:val="24"/>
          <w:szCs w:val="24"/>
          <w:lang w:eastAsia="pt-BR"/>
        </w:rPr>
        <w:t xml:space="preserve"> as contratações temporárias de que trata o inciso IX do </w:t>
      </w:r>
      <w:r w:rsidRPr="009A1DF4">
        <w:rPr>
          <w:rFonts w:ascii="Tahoma" w:eastAsia="Times New Roman" w:hAnsi="Tahoma" w:cs="Tahoma"/>
          <w:bCs/>
          <w:i/>
          <w:iCs/>
          <w:sz w:val="24"/>
          <w:szCs w:val="24"/>
          <w:lang w:eastAsia="pt-BR"/>
        </w:rPr>
        <w:t>caput</w:t>
      </w:r>
      <w:r w:rsidRPr="009A1DF4">
        <w:rPr>
          <w:rFonts w:ascii="Tahoma" w:eastAsia="Times New Roman" w:hAnsi="Tahoma" w:cs="Tahoma"/>
          <w:bCs/>
          <w:sz w:val="24"/>
          <w:szCs w:val="24"/>
          <w:lang w:eastAsia="pt-BR"/>
        </w:rPr>
        <w:t xml:space="preserve"> do art. 37 desta Constituição</w:t>
      </w:r>
      <w:r w:rsidR="001856EF" w:rsidRPr="009A1DF4">
        <w:rPr>
          <w:rFonts w:ascii="Tahoma" w:eastAsia="Times New Roman" w:hAnsi="Tahoma" w:cs="Tahoma"/>
          <w:bCs/>
          <w:sz w:val="24"/>
          <w:szCs w:val="24"/>
          <w:lang w:eastAsia="pt-BR"/>
        </w:rPr>
        <w:t>.</w:t>
      </w:r>
    </w:p>
    <w:p w14:paraId="459989AE" w14:textId="77777777" w:rsidR="008166AE" w:rsidRPr="009A1DF4" w:rsidRDefault="008166AE">
      <w:pPr>
        <w:spacing w:after="120" w:line="360" w:lineRule="auto"/>
        <w:ind w:firstLine="2835"/>
        <w:jc w:val="both"/>
        <w:rPr>
          <w:rFonts w:ascii="Tahoma" w:eastAsia="Times New Roman" w:hAnsi="Tahoma" w:cs="Tahoma"/>
          <w:bCs/>
          <w:sz w:val="24"/>
          <w:szCs w:val="24"/>
          <w:lang w:eastAsia="pt-BR"/>
        </w:rPr>
      </w:pPr>
    </w:p>
    <w:p w14:paraId="6EB7DA17" w14:textId="2F4FD3DF"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lastRenderedPageBreak/>
        <w:t>V -</w:t>
      </w:r>
      <w:r w:rsidRPr="009A1DF4">
        <w:rPr>
          <w:rFonts w:ascii="Tahoma" w:eastAsia="Times New Roman" w:hAnsi="Tahoma" w:cs="Tahoma"/>
          <w:bCs/>
          <w:sz w:val="24"/>
          <w:szCs w:val="24"/>
          <w:lang w:eastAsia="pt-BR"/>
        </w:rPr>
        <w:t xml:space="preserve"> realização de concurso público, exceto para as reposições de vacâncias previstas no inciso IV deste </w:t>
      </w:r>
      <w:r w:rsidRPr="00FB3FAE">
        <w:rPr>
          <w:rFonts w:ascii="Tahoma" w:eastAsia="Times New Roman" w:hAnsi="Tahoma" w:cs="Tahoma"/>
          <w:bCs/>
          <w:i/>
          <w:iCs/>
          <w:sz w:val="24"/>
          <w:szCs w:val="24"/>
          <w:lang w:eastAsia="pt-BR"/>
        </w:rPr>
        <w:t>caput</w:t>
      </w:r>
      <w:r w:rsidRPr="009A1DF4">
        <w:rPr>
          <w:rFonts w:ascii="Tahoma" w:eastAsia="Times New Roman" w:hAnsi="Tahoma" w:cs="Tahoma"/>
          <w:bCs/>
          <w:sz w:val="24"/>
          <w:szCs w:val="24"/>
          <w:lang w:eastAsia="pt-BR"/>
        </w:rPr>
        <w:t xml:space="preserve">; </w:t>
      </w:r>
    </w:p>
    <w:p w14:paraId="17DAA811" w14:textId="589A5C56"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VI -</w:t>
      </w:r>
      <w:r w:rsidRPr="009A1DF4">
        <w:rPr>
          <w:rFonts w:ascii="Tahoma" w:eastAsia="Times New Roman" w:hAnsi="Tahoma" w:cs="Tahoma"/>
          <w:bCs/>
          <w:sz w:val="24"/>
          <w:szCs w:val="24"/>
          <w:lang w:eastAsia="pt-BR"/>
        </w:rPr>
        <w:t xml:space="preserve"> criação ou majoração de auxílios, vantagens, bônus, abonos, verbas de representação ou benefícios de qualquer natureza, inclusive os de cunho indenizatório, em favor de servidores e empregados públicos, ou ainda de seus dependentes, exceto quando derivados de sentença judicial transitada em julgado ou de determinação legal anterior ao início da aplicação das medidas de que trata este artigo; </w:t>
      </w:r>
    </w:p>
    <w:p w14:paraId="3768B92E" w14:textId="34D52915"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VII -</w:t>
      </w:r>
      <w:r w:rsidRPr="009A1DF4">
        <w:rPr>
          <w:rFonts w:ascii="Tahoma" w:eastAsia="Times New Roman" w:hAnsi="Tahoma" w:cs="Tahoma"/>
          <w:bCs/>
          <w:sz w:val="24"/>
          <w:szCs w:val="24"/>
          <w:lang w:eastAsia="pt-BR"/>
        </w:rPr>
        <w:t xml:space="preserve"> criação de despesa obrigatória; </w:t>
      </w:r>
    </w:p>
    <w:p w14:paraId="38223BF7" w14:textId="74EC5D58"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VIII -</w:t>
      </w:r>
      <w:r w:rsidRPr="009A1DF4">
        <w:rPr>
          <w:rFonts w:ascii="Tahoma" w:eastAsia="Times New Roman" w:hAnsi="Tahoma" w:cs="Tahoma"/>
          <w:bCs/>
          <w:sz w:val="24"/>
          <w:szCs w:val="24"/>
          <w:lang w:eastAsia="pt-BR"/>
        </w:rPr>
        <w:t xml:space="preserve"> adoção de medida que implique reajuste de despesa obrigatória acima da variação da inflação, observada a preservação do poder aquisitivo referida no inciso IV do </w:t>
      </w:r>
      <w:r w:rsidRPr="009A1DF4">
        <w:rPr>
          <w:rFonts w:ascii="Tahoma" w:eastAsia="Times New Roman" w:hAnsi="Tahoma" w:cs="Tahoma"/>
          <w:bCs/>
          <w:i/>
          <w:iCs/>
          <w:sz w:val="24"/>
          <w:szCs w:val="24"/>
          <w:lang w:eastAsia="pt-BR"/>
        </w:rPr>
        <w:t>caput</w:t>
      </w:r>
      <w:r w:rsidRPr="009A1DF4">
        <w:rPr>
          <w:rFonts w:ascii="Tahoma" w:eastAsia="Times New Roman" w:hAnsi="Tahoma" w:cs="Tahoma"/>
          <w:bCs/>
          <w:sz w:val="24"/>
          <w:szCs w:val="24"/>
          <w:lang w:eastAsia="pt-BR"/>
        </w:rPr>
        <w:t xml:space="preserve"> do art</w:t>
      </w:r>
      <w:r w:rsidR="008A7C23" w:rsidRPr="009A1DF4">
        <w:rPr>
          <w:rFonts w:ascii="Tahoma" w:eastAsia="Times New Roman" w:hAnsi="Tahoma" w:cs="Tahoma"/>
          <w:bCs/>
          <w:sz w:val="24"/>
          <w:szCs w:val="24"/>
          <w:lang w:eastAsia="pt-BR"/>
        </w:rPr>
        <w:t>igo</w:t>
      </w:r>
      <w:r w:rsidRPr="009A1DF4">
        <w:rPr>
          <w:rFonts w:ascii="Tahoma" w:eastAsia="Times New Roman" w:hAnsi="Tahoma" w:cs="Tahoma"/>
          <w:bCs/>
          <w:sz w:val="24"/>
          <w:szCs w:val="24"/>
          <w:lang w:eastAsia="pt-BR"/>
        </w:rPr>
        <w:t xml:space="preserve"> 7º </w:t>
      </w:r>
      <w:r w:rsidR="008A7C23" w:rsidRPr="009A1DF4">
        <w:rPr>
          <w:rFonts w:ascii="Tahoma" w:eastAsia="Times New Roman" w:hAnsi="Tahoma" w:cs="Tahoma"/>
          <w:bCs/>
          <w:sz w:val="24"/>
          <w:szCs w:val="24"/>
          <w:lang w:eastAsia="pt-BR"/>
        </w:rPr>
        <w:t>da</w:t>
      </w:r>
      <w:r w:rsidRPr="009A1DF4">
        <w:rPr>
          <w:rFonts w:ascii="Tahoma" w:eastAsia="Times New Roman" w:hAnsi="Tahoma" w:cs="Tahoma"/>
          <w:bCs/>
          <w:sz w:val="24"/>
          <w:szCs w:val="24"/>
          <w:lang w:eastAsia="pt-BR"/>
        </w:rPr>
        <w:t xml:space="preserve"> Constituição</w:t>
      </w:r>
      <w:r w:rsidR="008A7C23" w:rsidRPr="009A1DF4">
        <w:rPr>
          <w:rFonts w:ascii="Tahoma" w:eastAsia="Times New Roman" w:hAnsi="Tahoma" w:cs="Tahoma"/>
          <w:bCs/>
          <w:sz w:val="24"/>
          <w:szCs w:val="24"/>
          <w:lang w:eastAsia="pt-BR"/>
        </w:rPr>
        <w:t xml:space="preserve"> Federal</w:t>
      </w:r>
      <w:r w:rsidRPr="009A1DF4">
        <w:rPr>
          <w:rFonts w:ascii="Tahoma" w:eastAsia="Times New Roman" w:hAnsi="Tahoma" w:cs="Tahoma"/>
          <w:bCs/>
          <w:sz w:val="24"/>
          <w:szCs w:val="24"/>
          <w:lang w:eastAsia="pt-BR"/>
        </w:rPr>
        <w:t xml:space="preserve">; </w:t>
      </w:r>
    </w:p>
    <w:p w14:paraId="3ECE221C" w14:textId="2AC5E145"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IX -</w:t>
      </w:r>
      <w:r w:rsidRPr="009A1DF4">
        <w:rPr>
          <w:rFonts w:ascii="Tahoma" w:eastAsia="Times New Roman" w:hAnsi="Tahoma" w:cs="Tahoma"/>
          <w:bCs/>
          <w:sz w:val="24"/>
          <w:szCs w:val="24"/>
          <w:lang w:eastAsia="pt-BR"/>
        </w:rPr>
        <w:t xml:space="preserve"> criação ou expansão de programas e linhas de financiamento, bem como remissão, renegociação ou refinanciamento de dívidas que impliquem ampliação das despesas com subsídios e subvenções; </w:t>
      </w:r>
    </w:p>
    <w:p w14:paraId="558ECC09" w14:textId="77777777" w:rsidR="004A35C7" w:rsidRPr="009A1DF4" w:rsidRDefault="004A35C7">
      <w:pPr>
        <w:spacing w:after="120" w:line="360" w:lineRule="auto"/>
        <w:ind w:firstLine="2835"/>
        <w:jc w:val="both"/>
        <w:rPr>
          <w:rFonts w:ascii="Tahoma" w:eastAsia="Times New Roman" w:hAnsi="Tahoma" w:cs="Tahoma"/>
          <w:bCs/>
          <w:sz w:val="24"/>
          <w:szCs w:val="24"/>
          <w:lang w:eastAsia="pt-BR"/>
        </w:rPr>
      </w:pPr>
      <w:r w:rsidRPr="009A1DF4">
        <w:rPr>
          <w:rFonts w:ascii="Tahoma" w:eastAsia="Times New Roman" w:hAnsi="Tahoma" w:cs="Tahoma"/>
          <w:b/>
          <w:sz w:val="24"/>
          <w:szCs w:val="24"/>
          <w:lang w:eastAsia="pt-BR"/>
        </w:rPr>
        <w:t xml:space="preserve">X - </w:t>
      </w:r>
      <w:r w:rsidRPr="009A1DF4">
        <w:rPr>
          <w:rFonts w:ascii="Tahoma" w:eastAsia="Times New Roman" w:hAnsi="Tahoma" w:cs="Tahoma"/>
          <w:bCs/>
          <w:sz w:val="24"/>
          <w:szCs w:val="24"/>
          <w:lang w:eastAsia="pt-BR"/>
        </w:rPr>
        <w:t xml:space="preserve">concessão ou ampliação de incentivo ou benefício de natureza tributária. </w:t>
      </w:r>
    </w:p>
    <w:p w14:paraId="231BA2C2" w14:textId="133E801C" w:rsidR="009A1DF4" w:rsidRPr="009A1DF4" w:rsidRDefault="004A35C7" w:rsidP="009A1DF4">
      <w:pPr>
        <w:spacing w:after="120" w:line="360" w:lineRule="auto"/>
        <w:ind w:firstLine="2835"/>
        <w:jc w:val="both"/>
        <w:rPr>
          <w:rFonts w:ascii="Tahoma" w:hAnsi="Tahoma" w:cs="Tahoma"/>
          <w:sz w:val="24"/>
          <w:szCs w:val="24"/>
          <w:shd w:val="clear" w:color="auto" w:fill="FFFFFF"/>
        </w:rPr>
      </w:pPr>
      <w:r w:rsidRPr="009A1DF4">
        <w:rPr>
          <w:rFonts w:ascii="Tahoma" w:eastAsia="Times New Roman" w:hAnsi="Tahoma" w:cs="Tahoma"/>
          <w:b/>
          <w:sz w:val="24"/>
          <w:szCs w:val="24"/>
          <w:lang w:eastAsia="pt-BR"/>
        </w:rPr>
        <w:t xml:space="preserve"> </w:t>
      </w:r>
      <w:r w:rsidR="009A1DF4" w:rsidRPr="009A1DF4">
        <w:rPr>
          <w:rFonts w:ascii="Tahoma" w:eastAsia="Times New Roman" w:hAnsi="Tahoma" w:cs="Tahoma"/>
          <w:b/>
          <w:sz w:val="24"/>
          <w:szCs w:val="24"/>
          <w:lang w:eastAsia="pt-BR"/>
        </w:rPr>
        <w:t xml:space="preserve">Artigo 2° - </w:t>
      </w:r>
      <w:r w:rsidR="0060755C" w:rsidRPr="0060755C">
        <w:rPr>
          <w:rFonts w:ascii="Tahoma" w:eastAsia="Times New Roman" w:hAnsi="Tahoma" w:cs="Tahoma"/>
          <w:sz w:val="24"/>
          <w:szCs w:val="24"/>
          <w:lang w:eastAsia="pt-BR"/>
        </w:rPr>
        <w:t>As</w:t>
      </w:r>
      <w:r w:rsidR="0060755C">
        <w:rPr>
          <w:rFonts w:ascii="Tahoma" w:eastAsia="Times New Roman" w:hAnsi="Tahoma" w:cs="Tahoma"/>
          <w:b/>
          <w:sz w:val="24"/>
          <w:szCs w:val="24"/>
          <w:lang w:eastAsia="pt-BR"/>
        </w:rPr>
        <w:t xml:space="preserve"> </w:t>
      </w:r>
      <w:r w:rsidR="0060755C">
        <w:rPr>
          <w:rFonts w:ascii="Tahoma" w:hAnsi="Tahoma" w:cs="Tahoma"/>
          <w:sz w:val="24"/>
          <w:szCs w:val="24"/>
          <w:shd w:val="clear" w:color="auto" w:fill="FFFFFF"/>
        </w:rPr>
        <w:t>secretarias</w:t>
      </w:r>
      <w:r w:rsidR="009A1DF4" w:rsidRPr="009A1DF4">
        <w:rPr>
          <w:rFonts w:ascii="Tahoma" w:hAnsi="Tahoma" w:cs="Tahoma"/>
          <w:sz w:val="24"/>
          <w:szCs w:val="24"/>
          <w:shd w:val="clear" w:color="auto" w:fill="FFFFFF"/>
        </w:rPr>
        <w:t xml:space="preserve"> da Administração</w:t>
      </w:r>
      <w:r w:rsidR="0060755C">
        <w:rPr>
          <w:rFonts w:ascii="Tahoma" w:hAnsi="Tahoma" w:cs="Tahoma"/>
          <w:sz w:val="24"/>
          <w:szCs w:val="24"/>
          <w:shd w:val="clear" w:color="auto" w:fill="FFFFFF"/>
        </w:rPr>
        <w:t xml:space="preserve"> Pública municipal</w:t>
      </w:r>
      <w:r w:rsidR="009A1DF4" w:rsidRPr="009A1DF4">
        <w:rPr>
          <w:rFonts w:ascii="Tahoma" w:hAnsi="Tahoma" w:cs="Tahoma"/>
          <w:sz w:val="24"/>
          <w:szCs w:val="24"/>
          <w:shd w:val="clear" w:color="auto" w:fill="FFFFFF"/>
        </w:rPr>
        <w:t>, independentemente de outras medidas a serem adotadas com o objetivo de redução de despesas, deverão revisar as despesas programadas de acordo com as diretrizes deste Decreto.</w:t>
      </w:r>
    </w:p>
    <w:p w14:paraId="5D7A0AD8" w14:textId="48140B9B" w:rsidR="009A1DF4" w:rsidRPr="009A1DF4" w:rsidRDefault="009A1DF4" w:rsidP="00FB3FAE">
      <w:pPr>
        <w:spacing w:after="120" w:line="360" w:lineRule="auto"/>
        <w:ind w:firstLine="2835"/>
        <w:jc w:val="both"/>
        <w:rPr>
          <w:rFonts w:ascii="Tahoma" w:hAnsi="Tahoma" w:cs="Tahoma"/>
          <w:sz w:val="24"/>
          <w:szCs w:val="24"/>
        </w:rPr>
      </w:pPr>
      <w:r w:rsidRPr="009A1DF4">
        <w:rPr>
          <w:rFonts w:ascii="Tahoma" w:hAnsi="Tahoma" w:cs="Tahoma"/>
          <w:b/>
          <w:sz w:val="24"/>
          <w:szCs w:val="24"/>
          <w:shd w:val="clear" w:color="auto" w:fill="FFFFFF"/>
        </w:rPr>
        <w:t>§ 1º</w:t>
      </w:r>
      <w:r w:rsidRPr="009A1DF4">
        <w:rPr>
          <w:rFonts w:ascii="Tahoma" w:hAnsi="Tahoma" w:cs="Tahoma"/>
          <w:sz w:val="24"/>
          <w:szCs w:val="24"/>
          <w:shd w:val="clear" w:color="auto" w:fill="FFFFFF"/>
        </w:rPr>
        <w:t xml:space="preserve"> O responsável pel</w:t>
      </w:r>
      <w:r w:rsidR="0060755C">
        <w:rPr>
          <w:rFonts w:ascii="Tahoma" w:hAnsi="Tahoma" w:cs="Tahoma"/>
          <w:sz w:val="24"/>
          <w:szCs w:val="24"/>
          <w:shd w:val="clear" w:color="auto" w:fill="FFFFFF"/>
        </w:rPr>
        <w:t>a</w:t>
      </w:r>
      <w:r w:rsidRPr="009A1DF4">
        <w:rPr>
          <w:rFonts w:ascii="Tahoma" w:hAnsi="Tahoma" w:cs="Tahoma"/>
          <w:sz w:val="24"/>
          <w:szCs w:val="24"/>
          <w:shd w:val="clear" w:color="auto" w:fill="FFFFFF"/>
        </w:rPr>
        <w:t xml:space="preserve"> </w:t>
      </w:r>
      <w:r w:rsidR="0060755C">
        <w:rPr>
          <w:rFonts w:ascii="Tahoma" w:hAnsi="Tahoma" w:cs="Tahoma"/>
          <w:sz w:val="24"/>
          <w:szCs w:val="24"/>
          <w:shd w:val="clear" w:color="auto" w:fill="FFFFFF"/>
        </w:rPr>
        <w:t>secretaria</w:t>
      </w:r>
      <w:r w:rsidRPr="009A1DF4">
        <w:rPr>
          <w:rFonts w:ascii="Tahoma" w:hAnsi="Tahoma" w:cs="Tahoma"/>
          <w:sz w:val="24"/>
          <w:szCs w:val="24"/>
          <w:shd w:val="clear" w:color="auto" w:fill="FFFFFF"/>
        </w:rPr>
        <w:t xml:space="preserve"> deverá adequar a sua programação orçamentária de forma a melhor viabilizar as ações constantes de seu plano de trabalho, definidas na </w:t>
      </w:r>
      <w:r w:rsidR="00FB3FAE" w:rsidRPr="009A1DF4">
        <w:rPr>
          <w:rFonts w:ascii="Tahoma" w:hAnsi="Tahoma" w:cs="Tahoma"/>
          <w:sz w:val="24"/>
          <w:szCs w:val="24"/>
          <w:shd w:val="clear" w:color="auto" w:fill="FFFFFF"/>
        </w:rPr>
        <w:t xml:space="preserve">Lei Orçamentária Anual </w:t>
      </w:r>
      <w:r w:rsidR="00FB3FAE">
        <w:rPr>
          <w:rFonts w:ascii="Tahoma" w:hAnsi="Tahoma" w:cs="Tahoma"/>
          <w:sz w:val="24"/>
          <w:szCs w:val="24"/>
          <w:shd w:val="clear" w:color="auto" w:fill="FFFFFF"/>
        </w:rPr>
        <w:t>(</w:t>
      </w:r>
      <w:r w:rsidRPr="009A1DF4">
        <w:rPr>
          <w:rFonts w:ascii="Tahoma" w:hAnsi="Tahoma" w:cs="Tahoma"/>
          <w:sz w:val="24"/>
          <w:szCs w:val="24"/>
          <w:shd w:val="clear" w:color="auto" w:fill="FFFFFF"/>
        </w:rPr>
        <w:t>LOA</w:t>
      </w:r>
      <w:r w:rsidR="00FB3FAE">
        <w:rPr>
          <w:rFonts w:ascii="Tahoma" w:hAnsi="Tahoma" w:cs="Tahoma"/>
          <w:sz w:val="24"/>
          <w:szCs w:val="24"/>
          <w:shd w:val="clear" w:color="auto" w:fill="FFFFFF"/>
        </w:rPr>
        <w:t>)</w:t>
      </w:r>
      <w:r w:rsidRPr="009A1DF4">
        <w:rPr>
          <w:rFonts w:ascii="Tahoma" w:hAnsi="Tahoma" w:cs="Tahoma"/>
          <w:sz w:val="24"/>
          <w:szCs w:val="24"/>
          <w:shd w:val="clear" w:color="auto" w:fill="FFFFFF"/>
        </w:rPr>
        <w:t>, obedecendo às limitações deste Decreto.</w:t>
      </w:r>
    </w:p>
    <w:p w14:paraId="739127FB" w14:textId="77777777" w:rsidR="009A1DF4" w:rsidRDefault="009A1DF4" w:rsidP="009A1DF4">
      <w:pPr>
        <w:spacing w:after="120" w:line="360" w:lineRule="auto"/>
        <w:ind w:firstLine="2835"/>
        <w:jc w:val="both"/>
        <w:rPr>
          <w:rFonts w:ascii="Tahoma" w:hAnsi="Tahoma" w:cs="Tahoma"/>
          <w:sz w:val="24"/>
          <w:szCs w:val="24"/>
          <w:shd w:val="clear" w:color="auto" w:fill="FFFFFF"/>
        </w:rPr>
      </w:pPr>
      <w:r w:rsidRPr="009A1DF4">
        <w:rPr>
          <w:rFonts w:ascii="Tahoma" w:hAnsi="Tahoma" w:cs="Tahoma"/>
          <w:b/>
          <w:sz w:val="24"/>
          <w:szCs w:val="24"/>
          <w:shd w:val="clear" w:color="auto" w:fill="FFFFFF"/>
        </w:rPr>
        <w:t>§ 2º</w:t>
      </w:r>
      <w:r w:rsidRPr="009A1DF4">
        <w:rPr>
          <w:rFonts w:ascii="Tahoma" w:hAnsi="Tahoma" w:cs="Tahoma"/>
          <w:sz w:val="24"/>
          <w:szCs w:val="24"/>
          <w:shd w:val="clear" w:color="auto" w:fill="FFFFFF"/>
        </w:rPr>
        <w:t xml:space="preserve"> Os Ordenadores de despesas, na adoção das medidas restritivas e de revisão das despesas previstas neste artigo, devem priorizar a continuidade de serviços essenciais.</w:t>
      </w:r>
    </w:p>
    <w:p w14:paraId="2E43B6B2" w14:textId="77777777" w:rsidR="008166AE" w:rsidRDefault="008166AE" w:rsidP="009A1DF4">
      <w:pPr>
        <w:spacing w:after="120" w:line="360" w:lineRule="auto"/>
        <w:ind w:firstLine="2835"/>
        <w:jc w:val="both"/>
        <w:rPr>
          <w:rFonts w:ascii="Tahoma" w:hAnsi="Tahoma" w:cs="Tahoma"/>
          <w:sz w:val="24"/>
          <w:szCs w:val="24"/>
          <w:shd w:val="clear" w:color="auto" w:fill="FFFFFF"/>
        </w:rPr>
      </w:pPr>
    </w:p>
    <w:p w14:paraId="76C4A660" w14:textId="77777777" w:rsidR="008166AE" w:rsidRPr="009A1DF4" w:rsidRDefault="008166AE" w:rsidP="009A1DF4">
      <w:pPr>
        <w:spacing w:after="120" w:line="360" w:lineRule="auto"/>
        <w:ind w:firstLine="2835"/>
        <w:jc w:val="both"/>
        <w:rPr>
          <w:rFonts w:ascii="Tahoma" w:hAnsi="Tahoma" w:cs="Tahoma"/>
          <w:sz w:val="24"/>
          <w:szCs w:val="24"/>
          <w:shd w:val="clear" w:color="auto" w:fill="FFFFFF"/>
        </w:rPr>
      </w:pPr>
    </w:p>
    <w:p w14:paraId="16EE62EB" w14:textId="004F7920" w:rsidR="00D866BD" w:rsidRPr="009A1DF4" w:rsidRDefault="009A1DF4" w:rsidP="00FB3FAE">
      <w:pPr>
        <w:spacing w:after="120" w:line="240" w:lineRule="auto"/>
        <w:ind w:firstLine="2835"/>
        <w:jc w:val="both"/>
        <w:rPr>
          <w:rFonts w:ascii="Tahoma" w:eastAsia="Times New Roman" w:hAnsi="Tahoma" w:cs="Tahoma"/>
          <w:sz w:val="24"/>
          <w:szCs w:val="24"/>
          <w:lang w:eastAsia="pt-BR"/>
        </w:rPr>
      </w:pPr>
      <w:r w:rsidRPr="009A1DF4">
        <w:rPr>
          <w:rFonts w:ascii="Tahoma" w:hAnsi="Tahoma" w:cs="Tahoma"/>
          <w:b/>
          <w:sz w:val="24"/>
          <w:szCs w:val="24"/>
          <w:shd w:val="clear" w:color="auto" w:fill="FFFFFF"/>
        </w:rPr>
        <w:lastRenderedPageBreak/>
        <w:t xml:space="preserve"> </w:t>
      </w:r>
      <w:r w:rsidR="004A35C7" w:rsidRPr="009A1DF4">
        <w:rPr>
          <w:rFonts w:ascii="Tahoma" w:eastAsia="Times New Roman" w:hAnsi="Tahoma" w:cs="Tahoma"/>
          <w:b/>
          <w:sz w:val="24"/>
          <w:szCs w:val="24"/>
          <w:lang w:eastAsia="pt-BR"/>
        </w:rPr>
        <w:t xml:space="preserve">Artigo </w:t>
      </w:r>
      <w:r w:rsidRPr="009A1DF4">
        <w:rPr>
          <w:rFonts w:ascii="Tahoma" w:eastAsia="Times New Roman" w:hAnsi="Tahoma" w:cs="Tahoma"/>
          <w:b/>
          <w:sz w:val="24"/>
          <w:szCs w:val="24"/>
          <w:lang w:eastAsia="pt-BR"/>
        </w:rPr>
        <w:t>3</w:t>
      </w:r>
      <w:r w:rsidR="00F145E5" w:rsidRPr="009A1DF4">
        <w:rPr>
          <w:rFonts w:ascii="Tahoma" w:eastAsia="Times New Roman" w:hAnsi="Tahoma" w:cs="Tahoma"/>
          <w:b/>
          <w:sz w:val="24"/>
          <w:szCs w:val="24"/>
          <w:lang w:eastAsia="pt-BR"/>
        </w:rPr>
        <w:t>º</w:t>
      </w:r>
      <w:r w:rsidR="004A35C7" w:rsidRPr="009A1DF4">
        <w:rPr>
          <w:rFonts w:ascii="Tahoma" w:eastAsia="Times New Roman" w:hAnsi="Tahoma" w:cs="Tahoma"/>
          <w:b/>
          <w:sz w:val="24"/>
          <w:szCs w:val="24"/>
          <w:lang w:eastAsia="pt-BR"/>
        </w:rPr>
        <w:t xml:space="preserve"> -</w:t>
      </w:r>
      <w:r w:rsidR="004A35C7" w:rsidRPr="009A1DF4">
        <w:rPr>
          <w:rFonts w:ascii="Tahoma" w:eastAsia="Times New Roman" w:hAnsi="Tahoma" w:cs="Tahoma"/>
          <w:sz w:val="24"/>
          <w:szCs w:val="24"/>
          <w:lang w:eastAsia="pt-BR"/>
        </w:rPr>
        <w:t xml:space="preserve"> Este Decreto entra em vigor na data da sua publicação</w:t>
      </w:r>
      <w:r w:rsidR="00C80180" w:rsidRPr="009A1DF4">
        <w:rPr>
          <w:rFonts w:ascii="Tahoma" w:eastAsia="Times New Roman" w:hAnsi="Tahoma" w:cs="Tahoma"/>
          <w:sz w:val="24"/>
          <w:szCs w:val="24"/>
          <w:lang w:eastAsia="pt-BR"/>
        </w:rPr>
        <w:t>, revogando-se as disposições em contrário.</w:t>
      </w:r>
    </w:p>
    <w:p w14:paraId="3EBEB3E9" w14:textId="77777777" w:rsidR="0033784E" w:rsidRPr="009A1DF4" w:rsidRDefault="0033784E">
      <w:pPr>
        <w:spacing w:after="120" w:line="360" w:lineRule="auto"/>
        <w:ind w:firstLine="2835"/>
        <w:jc w:val="both"/>
        <w:rPr>
          <w:rFonts w:ascii="Tahoma" w:eastAsia="Times New Roman" w:hAnsi="Tahoma" w:cs="Tahoma"/>
          <w:sz w:val="24"/>
          <w:szCs w:val="24"/>
          <w:lang w:eastAsia="pt-BR"/>
        </w:rPr>
      </w:pPr>
    </w:p>
    <w:p w14:paraId="52559B06" w14:textId="5982D59E" w:rsidR="00D866BD" w:rsidRPr="009A1DF4" w:rsidRDefault="006D6715">
      <w:pPr>
        <w:spacing w:after="0" w:line="240" w:lineRule="auto"/>
        <w:jc w:val="both"/>
        <w:rPr>
          <w:rFonts w:ascii="Tahoma" w:eastAsia="Times New Roman" w:hAnsi="Tahoma" w:cs="Tahoma"/>
          <w:sz w:val="24"/>
          <w:szCs w:val="24"/>
          <w:lang w:eastAsia="pt-BR"/>
        </w:rPr>
      </w:pPr>
      <w:r w:rsidRPr="009A1DF4">
        <w:rPr>
          <w:rFonts w:ascii="Tahoma" w:eastAsia="Times New Roman" w:hAnsi="Tahoma" w:cs="Tahoma"/>
          <w:sz w:val="24"/>
          <w:szCs w:val="24"/>
          <w:lang w:eastAsia="pt-BR"/>
        </w:rPr>
        <w:tab/>
      </w:r>
      <w:r w:rsidRPr="009A1DF4">
        <w:rPr>
          <w:rFonts w:ascii="Tahoma" w:eastAsia="Times New Roman" w:hAnsi="Tahoma" w:cs="Tahoma"/>
          <w:sz w:val="24"/>
          <w:szCs w:val="24"/>
          <w:lang w:eastAsia="pt-BR"/>
        </w:rPr>
        <w:tab/>
      </w:r>
      <w:r w:rsidRPr="009A1DF4">
        <w:rPr>
          <w:rFonts w:ascii="Tahoma" w:eastAsia="Times New Roman" w:hAnsi="Tahoma" w:cs="Tahoma"/>
          <w:sz w:val="24"/>
          <w:szCs w:val="24"/>
          <w:lang w:eastAsia="pt-BR"/>
        </w:rPr>
        <w:tab/>
      </w:r>
      <w:r w:rsidRPr="009A1DF4">
        <w:rPr>
          <w:rFonts w:ascii="Tahoma" w:eastAsia="Times New Roman" w:hAnsi="Tahoma" w:cs="Tahoma"/>
          <w:sz w:val="24"/>
          <w:szCs w:val="24"/>
          <w:lang w:eastAsia="pt-BR"/>
        </w:rPr>
        <w:tab/>
        <w:t>PREFEIT</w:t>
      </w:r>
      <w:r w:rsidR="00FF7FF3">
        <w:rPr>
          <w:rFonts w:ascii="Tahoma" w:eastAsia="Times New Roman" w:hAnsi="Tahoma" w:cs="Tahoma"/>
          <w:sz w:val="24"/>
          <w:szCs w:val="24"/>
          <w:lang w:eastAsia="pt-BR"/>
        </w:rPr>
        <w:t>URA MUNICIPAL DE LUCÉLIA, aos 24</w:t>
      </w:r>
      <w:r w:rsidRPr="009A1DF4">
        <w:rPr>
          <w:rFonts w:ascii="Tahoma" w:eastAsia="Times New Roman" w:hAnsi="Tahoma" w:cs="Tahoma"/>
          <w:sz w:val="24"/>
          <w:szCs w:val="24"/>
          <w:lang w:eastAsia="pt-BR"/>
        </w:rPr>
        <w:t xml:space="preserve"> dias do mês de </w:t>
      </w:r>
      <w:r w:rsidR="0033784E" w:rsidRPr="009A1DF4">
        <w:rPr>
          <w:rFonts w:ascii="Tahoma" w:eastAsia="Times New Roman" w:hAnsi="Tahoma" w:cs="Tahoma"/>
          <w:sz w:val="24"/>
          <w:szCs w:val="24"/>
          <w:lang w:eastAsia="pt-BR"/>
        </w:rPr>
        <w:t>outubro</w:t>
      </w:r>
      <w:r w:rsidRPr="009A1DF4">
        <w:rPr>
          <w:rFonts w:ascii="Tahoma" w:eastAsia="Times New Roman" w:hAnsi="Tahoma" w:cs="Tahoma"/>
          <w:sz w:val="24"/>
          <w:szCs w:val="24"/>
          <w:lang w:eastAsia="pt-BR"/>
        </w:rPr>
        <w:t xml:space="preserve"> de 2023.</w:t>
      </w:r>
    </w:p>
    <w:p w14:paraId="5C274732" w14:textId="6E52C94C" w:rsidR="0033784E" w:rsidRPr="009A1DF4" w:rsidRDefault="006D6715" w:rsidP="0033784E">
      <w:pPr>
        <w:spacing w:line="360" w:lineRule="auto"/>
        <w:jc w:val="both"/>
        <w:rPr>
          <w:rFonts w:ascii="Tahoma" w:eastAsia="Times New Roman" w:hAnsi="Tahoma" w:cs="Tahoma"/>
          <w:sz w:val="24"/>
          <w:szCs w:val="24"/>
          <w:lang w:eastAsia="pt-BR"/>
        </w:rPr>
      </w:pPr>
      <w:r w:rsidRPr="009A1DF4">
        <w:rPr>
          <w:rFonts w:ascii="Tahoma" w:eastAsia="Times New Roman" w:hAnsi="Tahoma" w:cs="Tahoma"/>
          <w:sz w:val="24"/>
          <w:szCs w:val="24"/>
          <w:lang w:eastAsia="pt-BR"/>
        </w:rPr>
        <w:t xml:space="preserve"> </w:t>
      </w:r>
    </w:p>
    <w:p w14:paraId="7A5F7FE3" w14:textId="77777777" w:rsidR="00D866BD" w:rsidRPr="009A1DF4" w:rsidRDefault="006D6715">
      <w:pPr>
        <w:spacing w:after="0" w:line="240" w:lineRule="auto"/>
        <w:jc w:val="center"/>
        <w:rPr>
          <w:rFonts w:ascii="Tahoma" w:eastAsia="Times New Roman" w:hAnsi="Tahoma" w:cs="Tahoma"/>
          <w:b/>
          <w:bCs/>
          <w:sz w:val="24"/>
          <w:szCs w:val="24"/>
          <w:lang w:eastAsia="pt-BR"/>
        </w:rPr>
      </w:pPr>
      <w:r w:rsidRPr="009A1DF4">
        <w:rPr>
          <w:rFonts w:ascii="Tahoma" w:eastAsia="Times New Roman" w:hAnsi="Tahoma" w:cs="Tahoma"/>
          <w:sz w:val="24"/>
          <w:szCs w:val="24"/>
          <w:lang w:eastAsia="pt-BR"/>
        </w:rPr>
        <w:t xml:space="preserve">                                        </w:t>
      </w:r>
      <w:r w:rsidRPr="009A1DF4">
        <w:rPr>
          <w:rFonts w:ascii="Tahoma" w:eastAsia="Times New Roman" w:hAnsi="Tahoma" w:cs="Tahoma"/>
          <w:b/>
          <w:bCs/>
          <w:sz w:val="24"/>
          <w:szCs w:val="24"/>
          <w:lang w:eastAsia="pt-BR"/>
        </w:rPr>
        <w:t>TATIANA GUILHERMINO TAZINÁZZIO</w:t>
      </w:r>
    </w:p>
    <w:p w14:paraId="3CBA17DC" w14:textId="77777777" w:rsidR="00D866BD" w:rsidRPr="009A1DF4" w:rsidRDefault="006D6715">
      <w:pPr>
        <w:spacing w:after="0" w:line="240" w:lineRule="auto"/>
        <w:jc w:val="center"/>
        <w:rPr>
          <w:rFonts w:ascii="Tahoma" w:eastAsia="Times New Roman" w:hAnsi="Tahoma" w:cs="Tahoma"/>
          <w:sz w:val="24"/>
          <w:szCs w:val="24"/>
          <w:lang w:eastAsia="pt-BR"/>
        </w:rPr>
      </w:pPr>
      <w:r w:rsidRPr="009A1DF4">
        <w:rPr>
          <w:rFonts w:ascii="Tahoma" w:eastAsia="Times New Roman" w:hAnsi="Tahoma" w:cs="Tahoma"/>
          <w:sz w:val="24"/>
          <w:szCs w:val="24"/>
          <w:lang w:eastAsia="pt-BR"/>
        </w:rPr>
        <w:t xml:space="preserve">                                          PREFEITA MUNICIPAL</w:t>
      </w:r>
    </w:p>
    <w:p w14:paraId="4A321815" w14:textId="77777777" w:rsidR="00D866BD" w:rsidRPr="009A1DF4" w:rsidRDefault="00D866BD">
      <w:pPr>
        <w:spacing w:after="0" w:line="240" w:lineRule="auto"/>
        <w:jc w:val="both"/>
        <w:rPr>
          <w:rFonts w:ascii="Tahoma" w:eastAsia="Times New Roman" w:hAnsi="Tahoma" w:cs="Tahoma"/>
          <w:sz w:val="24"/>
          <w:szCs w:val="24"/>
          <w:lang w:eastAsia="pt-BR"/>
        </w:rPr>
      </w:pPr>
    </w:p>
    <w:p w14:paraId="7ED2AA34" w14:textId="77777777" w:rsidR="00D866BD" w:rsidRPr="009A1DF4" w:rsidRDefault="006D6715">
      <w:pPr>
        <w:spacing w:after="0" w:line="240" w:lineRule="auto"/>
        <w:ind w:firstLine="2835"/>
        <w:jc w:val="both"/>
        <w:rPr>
          <w:rFonts w:ascii="Tahoma" w:eastAsia="Times New Roman" w:hAnsi="Tahoma" w:cs="Tahoma"/>
          <w:sz w:val="24"/>
          <w:szCs w:val="24"/>
          <w:lang w:eastAsia="pt-BR"/>
        </w:rPr>
      </w:pPr>
      <w:r w:rsidRPr="009A1DF4">
        <w:rPr>
          <w:rFonts w:ascii="Tahoma" w:eastAsia="Times New Roman" w:hAnsi="Tahoma" w:cs="Tahoma"/>
          <w:sz w:val="24"/>
          <w:szCs w:val="24"/>
          <w:lang w:eastAsia="pt-BR"/>
        </w:rPr>
        <w:t>Registrado no Setor de Administração, publicado por afixação no lugar público de costume e no Diário Oficial.</w:t>
      </w:r>
    </w:p>
    <w:p w14:paraId="72D87F27" w14:textId="77777777" w:rsidR="00D866BD" w:rsidRPr="009A1DF4" w:rsidRDefault="00D866BD" w:rsidP="0033784E">
      <w:pPr>
        <w:spacing w:line="360" w:lineRule="auto"/>
        <w:ind w:firstLine="3600"/>
        <w:jc w:val="both"/>
        <w:rPr>
          <w:rFonts w:ascii="Tahoma" w:eastAsia="Times New Roman" w:hAnsi="Tahoma" w:cs="Tahoma"/>
          <w:sz w:val="24"/>
          <w:szCs w:val="24"/>
          <w:lang w:eastAsia="pt-BR"/>
        </w:rPr>
      </w:pPr>
    </w:p>
    <w:p w14:paraId="3641C131" w14:textId="77777777" w:rsidR="00D866BD" w:rsidRPr="009A1DF4" w:rsidRDefault="006D6715">
      <w:pPr>
        <w:spacing w:after="0" w:line="240" w:lineRule="auto"/>
        <w:jc w:val="center"/>
        <w:rPr>
          <w:rFonts w:ascii="Tahoma" w:eastAsia="Times New Roman" w:hAnsi="Tahoma" w:cs="Tahoma"/>
          <w:b/>
          <w:bCs/>
          <w:sz w:val="24"/>
          <w:szCs w:val="24"/>
          <w:lang w:eastAsia="pt-BR"/>
        </w:rPr>
      </w:pPr>
      <w:r w:rsidRPr="009A1DF4">
        <w:rPr>
          <w:rFonts w:ascii="Tahoma" w:eastAsia="Times New Roman" w:hAnsi="Tahoma" w:cs="Tahoma"/>
          <w:sz w:val="24"/>
          <w:szCs w:val="24"/>
          <w:lang w:eastAsia="pt-BR"/>
        </w:rPr>
        <w:t xml:space="preserve">                                      </w:t>
      </w:r>
      <w:r w:rsidRPr="009A1DF4">
        <w:rPr>
          <w:rFonts w:ascii="Tahoma" w:eastAsia="Times New Roman" w:hAnsi="Tahoma" w:cs="Tahoma"/>
          <w:b/>
          <w:bCs/>
          <w:sz w:val="24"/>
          <w:szCs w:val="24"/>
          <w:lang w:eastAsia="pt-BR"/>
        </w:rPr>
        <w:t>BRUNO DOS SANTOS</w:t>
      </w:r>
    </w:p>
    <w:p w14:paraId="139D46B3" w14:textId="77777777" w:rsidR="00D866BD" w:rsidRPr="009A1DF4" w:rsidRDefault="006D6715">
      <w:pPr>
        <w:spacing w:after="0" w:line="240" w:lineRule="auto"/>
        <w:jc w:val="center"/>
        <w:rPr>
          <w:rFonts w:ascii="Tahoma" w:hAnsi="Tahoma" w:cs="Tahoma"/>
          <w:sz w:val="24"/>
          <w:szCs w:val="24"/>
        </w:rPr>
      </w:pPr>
      <w:r w:rsidRPr="009A1DF4">
        <w:rPr>
          <w:rFonts w:ascii="Tahoma" w:eastAsia="Times New Roman" w:hAnsi="Tahoma" w:cs="Tahoma"/>
          <w:sz w:val="24"/>
          <w:szCs w:val="24"/>
          <w:lang w:eastAsia="pt-BR"/>
        </w:rPr>
        <w:t xml:space="preserve">                                       SECRETÁRIO DE ADMINISTRAÇÃO</w:t>
      </w:r>
    </w:p>
    <w:sectPr w:rsidR="00D866BD" w:rsidRPr="009A1DF4">
      <w:headerReference w:type="even" r:id="rId9"/>
      <w:headerReference w:type="default" r:id="rId10"/>
      <w:footerReference w:type="even" r:id="rId11"/>
      <w:footerReference w:type="default" r:id="rId12"/>
      <w:headerReference w:type="first" r:id="rId13"/>
      <w:footerReference w:type="first" r:id="rId14"/>
      <w:type w:val="continuous"/>
      <w:pgSz w:w="11906" w:h="16838"/>
      <w:pgMar w:top="454" w:right="1274" w:bottom="1276" w:left="1134"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76583" w14:textId="77777777" w:rsidR="00CA36E6" w:rsidRDefault="00CA36E6">
      <w:pPr>
        <w:spacing w:after="0" w:line="240" w:lineRule="auto"/>
      </w:pPr>
      <w:r>
        <w:separator/>
      </w:r>
    </w:p>
  </w:endnote>
  <w:endnote w:type="continuationSeparator" w:id="0">
    <w:p w14:paraId="0B3FA0D7" w14:textId="77777777" w:rsidR="00CA36E6" w:rsidRDefault="00CA3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3C1D2" w14:textId="77777777" w:rsidR="00D866BD" w:rsidRDefault="00D866B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701021"/>
      <w:docPartObj>
        <w:docPartGallery w:val="Page Numbers (Bottom of Page)"/>
        <w:docPartUnique/>
      </w:docPartObj>
    </w:sdtPr>
    <w:sdtEndPr/>
    <w:sdtContent>
      <w:p w14:paraId="3462FF69" w14:textId="2AAD38DC" w:rsidR="002D0FE4" w:rsidRDefault="002D0FE4">
        <w:pPr>
          <w:pStyle w:val="Rodap"/>
          <w:jc w:val="center"/>
        </w:pPr>
        <w:r>
          <w:fldChar w:fldCharType="begin"/>
        </w:r>
        <w:r>
          <w:instrText>PAGE   \* MERGEFORMAT</w:instrText>
        </w:r>
        <w:r>
          <w:fldChar w:fldCharType="separate"/>
        </w:r>
        <w:r w:rsidR="00E57411">
          <w:rPr>
            <w:noProof/>
          </w:rPr>
          <w:t>4</w:t>
        </w:r>
        <w:r>
          <w:fldChar w:fldCharType="end"/>
        </w:r>
      </w:p>
    </w:sdtContent>
  </w:sdt>
  <w:p w14:paraId="00532768" w14:textId="77777777" w:rsidR="00D866BD" w:rsidRDefault="00D866BD">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BC0E8" w14:textId="77777777" w:rsidR="00D866BD" w:rsidRDefault="00D866B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4EC3AA" w14:textId="77777777" w:rsidR="00CA36E6" w:rsidRDefault="00CA36E6">
      <w:pPr>
        <w:spacing w:after="0" w:line="240" w:lineRule="auto"/>
      </w:pPr>
      <w:r>
        <w:separator/>
      </w:r>
    </w:p>
  </w:footnote>
  <w:footnote w:type="continuationSeparator" w:id="0">
    <w:p w14:paraId="6A3EB7A0" w14:textId="77777777" w:rsidR="00CA36E6" w:rsidRDefault="00CA36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AE301B" w14:textId="77777777" w:rsidR="00D866BD" w:rsidRDefault="00D866B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780A20" w14:textId="77777777" w:rsidR="00D866BD" w:rsidRDefault="006D6715">
    <w:pPr>
      <w:pStyle w:val="Cabealho"/>
      <w:jc w:val="center"/>
      <w:rPr>
        <w:rFonts w:ascii="Arial" w:hAnsi="Arial" w:cs="Arial"/>
        <w:sz w:val="16"/>
        <w:szCs w:val="16"/>
      </w:rPr>
    </w:pPr>
    <w:r>
      <w:rPr>
        <w:rFonts w:ascii="Arial" w:hAnsi="Arial" w:cs="Arial"/>
        <w:noProof/>
        <w:sz w:val="16"/>
        <w:szCs w:val="16"/>
      </w:rPr>
      <w:drawing>
        <wp:anchor distT="0" distB="0" distL="114300" distR="114300" simplePos="0" relativeHeight="251658240" behindDoc="1" locked="0" layoutInCell="1" allowOverlap="1" wp14:anchorId="6CF91C29" wp14:editId="2BBA3EBE">
          <wp:simplePos x="0" y="0"/>
          <wp:positionH relativeFrom="page">
            <wp:posOffset>95250</wp:posOffset>
          </wp:positionH>
          <wp:positionV relativeFrom="paragraph">
            <wp:posOffset>-180340</wp:posOffset>
          </wp:positionV>
          <wp:extent cx="7457803" cy="10683875"/>
          <wp:effectExtent l="0" t="0" r="0" b="3175"/>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G-DOC-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7803" cy="10683875"/>
                  </a:xfrm>
                  <a:prstGeom prst="rect">
                    <a:avLst/>
                  </a:prstGeom>
                </pic:spPr>
              </pic:pic>
            </a:graphicData>
          </a:graphic>
          <wp14:sizeRelH relativeFrom="margin">
            <wp14:pctWidth>0</wp14:pctWidth>
          </wp14:sizeRelH>
          <wp14:sizeRelV relativeFrom="margin">
            <wp14:pctHeight>0</wp14:pctHeight>
          </wp14:sizeRelV>
        </wp:anchor>
      </w:drawing>
    </w:r>
  </w:p>
  <w:p w14:paraId="1D294FC9" w14:textId="77777777" w:rsidR="00D866BD" w:rsidRDefault="00D866BD">
    <w:pPr>
      <w:pStyle w:val="Cabealho"/>
      <w:jc w:val="center"/>
      <w:rPr>
        <w:rFonts w:ascii="Arial" w:hAnsi="Arial" w:cs="Arial"/>
        <w:sz w:val="16"/>
        <w:szCs w:val="16"/>
      </w:rPr>
    </w:pPr>
  </w:p>
  <w:p w14:paraId="54E6838C" w14:textId="77777777" w:rsidR="00D866BD" w:rsidRDefault="00D866BD">
    <w:pPr>
      <w:pStyle w:val="Cabealho"/>
      <w:jc w:val="center"/>
      <w:rPr>
        <w:rFonts w:ascii="Arial" w:hAnsi="Arial" w:cs="Arial"/>
        <w:sz w:val="16"/>
        <w:szCs w:val="16"/>
      </w:rPr>
    </w:pPr>
  </w:p>
  <w:p w14:paraId="2A516E2C" w14:textId="77777777" w:rsidR="00D866BD" w:rsidRDefault="00D866BD">
    <w:pPr>
      <w:pStyle w:val="Cabealho"/>
      <w:jc w:val="center"/>
      <w:rPr>
        <w:rFonts w:ascii="Arial" w:hAnsi="Arial" w:cs="Arial"/>
        <w:sz w:val="16"/>
        <w:szCs w:val="16"/>
      </w:rPr>
    </w:pPr>
  </w:p>
  <w:p w14:paraId="10FC5F6F" w14:textId="77777777" w:rsidR="00D866BD" w:rsidRDefault="00D866BD">
    <w:pPr>
      <w:pStyle w:val="Cabealho"/>
      <w:jc w:val="center"/>
      <w:rPr>
        <w:rFonts w:ascii="Arial" w:hAnsi="Arial" w:cs="Arial"/>
        <w:sz w:val="16"/>
        <w:szCs w:val="16"/>
      </w:rPr>
    </w:pPr>
  </w:p>
  <w:p w14:paraId="3CE5E9CF" w14:textId="77777777" w:rsidR="00D866BD" w:rsidRDefault="00D866BD">
    <w:pPr>
      <w:pStyle w:val="Cabealho"/>
      <w:jc w:val="center"/>
      <w:rPr>
        <w:rFonts w:ascii="Arial" w:hAnsi="Arial" w:cs="Arial"/>
        <w:sz w:val="16"/>
        <w:szCs w:val="16"/>
      </w:rPr>
    </w:pPr>
  </w:p>
  <w:p w14:paraId="5B4784C9" w14:textId="77777777" w:rsidR="00D866BD" w:rsidRDefault="00D866BD">
    <w:pPr>
      <w:pStyle w:val="Cabealho"/>
      <w:jc w:val="center"/>
      <w:rPr>
        <w:rFonts w:ascii="Arial" w:hAnsi="Arial" w:cs="Arial"/>
        <w:sz w:val="16"/>
        <w:szCs w:val="16"/>
      </w:rPr>
    </w:pPr>
  </w:p>
  <w:p w14:paraId="61BE0402" w14:textId="77777777" w:rsidR="00D866BD" w:rsidRDefault="00D866BD">
    <w:pPr>
      <w:pStyle w:val="Cabealho"/>
      <w:jc w:val="center"/>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704359" w14:textId="77777777" w:rsidR="00D866BD" w:rsidRDefault="00D866B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1924"/>
    <w:multiLevelType w:val="hybridMultilevel"/>
    <w:tmpl w:val="4338292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B070140"/>
    <w:multiLevelType w:val="hybridMultilevel"/>
    <w:tmpl w:val="EBDA9FAA"/>
    <w:lvl w:ilvl="0" w:tplc="D53265E2">
      <w:start w:val="1"/>
      <w:numFmt w:val="lowerLetter"/>
      <w:lvlText w:val="%1)"/>
      <w:lvlJc w:val="left"/>
      <w:pPr>
        <w:ind w:left="720" w:hanging="360"/>
      </w:pPr>
      <w:rPr>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3BBB21FC"/>
    <w:multiLevelType w:val="hybridMultilevel"/>
    <w:tmpl w:val="20A258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4A0B5CC0"/>
    <w:multiLevelType w:val="hybridMultilevel"/>
    <w:tmpl w:val="BE98707E"/>
    <w:lvl w:ilvl="0" w:tplc="EC98045E">
      <w:start w:val="1"/>
      <w:numFmt w:val="lowerLetter"/>
      <w:lvlText w:val="%1)"/>
      <w:lvlJc w:val="left"/>
      <w:pPr>
        <w:ind w:left="720" w:hanging="360"/>
      </w:pPr>
      <w:rPr>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4EA37B5B"/>
    <w:multiLevelType w:val="hybridMultilevel"/>
    <w:tmpl w:val="243EB322"/>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4FFD73BD"/>
    <w:multiLevelType w:val="hybridMultilevel"/>
    <w:tmpl w:val="FA40FB4A"/>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6">
    <w:nsid w:val="68B95703"/>
    <w:multiLevelType w:val="hybridMultilevel"/>
    <w:tmpl w:val="9D8EFC90"/>
    <w:lvl w:ilvl="0" w:tplc="5D68E91C">
      <w:start w:val="1"/>
      <w:numFmt w:val="upp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69AC3847"/>
    <w:multiLevelType w:val="hybridMultilevel"/>
    <w:tmpl w:val="842620F8"/>
    <w:lvl w:ilvl="0" w:tplc="5C96500E">
      <w:start w:val="1"/>
      <w:numFmt w:val="decimal"/>
      <w:lvlText w:val="%1."/>
      <w:lvlJc w:val="left"/>
      <w:pPr>
        <w:ind w:left="820" w:hanging="360"/>
      </w:pPr>
      <w:rPr>
        <w:rFonts w:ascii="Arial" w:eastAsia="Arial" w:hAnsi="Arial" w:cs="Arial" w:hint="default"/>
        <w:w w:val="100"/>
        <w:sz w:val="14"/>
        <w:szCs w:val="14"/>
        <w:lang w:val="pt-PT" w:eastAsia="pt-PT" w:bidi="pt-PT"/>
      </w:rPr>
    </w:lvl>
    <w:lvl w:ilvl="1" w:tplc="1368D030">
      <w:numFmt w:val="bullet"/>
      <w:lvlText w:val=""/>
      <w:lvlJc w:val="left"/>
      <w:pPr>
        <w:ind w:left="1091" w:hanging="360"/>
      </w:pPr>
      <w:rPr>
        <w:rFonts w:ascii="Symbol" w:eastAsia="Symbol" w:hAnsi="Symbol" w:cs="Symbol" w:hint="default"/>
        <w:w w:val="99"/>
        <w:sz w:val="14"/>
        <w:szCs w:val="14"/>
        <w:lang w:val="pt-PT" w:eastAsia="pt-PT" w:bidi="pt-PT"/>
      </w:rPr>
    </w:lvl>
    <w:lvl w:ilvl="2" w:tplc="DB889358">
      <w:numFmt w:val="bullet"/>
      <w:lvlText w:val="•"/>
      <w:lvlJc w:val="left"/>
      <w:pPr>
        <w:ind w:left="2085" w:hanging="360"/>
      </w:pPr>
      <w:rPr>
        <w:rFonts w:hint="default"/>
        <w:lang w:val="pt-PT" w:eastAsia="pt-PT" w:bidi="pt-PT"/>
      </w:rPr>
    </w:lvl>
    <w:lvl w:ilvl="3" w:tplc="FE00D5FA">
      <w:numFmt w:val="bullet"/>
      <w:lvlText w:val="•"/>
      <w:lvlJc w:val="left"/>
      <w:pPr>
        <w:ind w:left="3070" w:hanging="360"/>
      </w:pPr>
      <w:rPr>
        <w:rFonts w:hint="default"/>
        <w:lang w:val="pt-PT" w:eastAsia="pt-PT" w:bidi="pt-PT"/>
      </w:rPr>
    </w:lvl>
    <w:lvl w:ilvl="4" w:tplc="8EFAB4DA">
      <w:numFmt w:val="bullet"/>
      <w:lvlText w:val="•"/>
      <w:lvlJc w:val="left"/>
      <w:pPr>
        <w:ind w:left="4055" w:hanging="360"/>
      </w:pPr>
      <w:rPr>
        <w:rFonts w:hint="default"/>
        <w:lang w:val="pt-PT" w:eastAsia="pt-PT" w:bidi="pt-PT"/>
      </w:rPr>
    </w:lvl>
    <w:lvl w:ilvl="5" w:tplc="853E1D2A">
      <w:numFmt w:val="bullet"/>
      <w:lvlText w:val="•"/>
      <w:lvlJc w:val="left"/>
      <w:pPr>
        <w:ind w:left="5040" w:hanging="360"/>
      </w:pPr>
      <w:rPr>
        <w:rFonts w:hint="default"/>
        <w:lang w:val="pt-PT" w:eastAsia="pt-PT" w:bidi="pt-PT"/>
      </w:rPr>
    </w:lvl>
    <w:lvl w:ilvl="6" w:tplc="1ED6414A">
      <w:numFmt w:val="bullet"/>
      <w:lvlText w:val="•"/>
      <w:lvlJc w:val="left"/>
      <w:pPr>
        <w:ind w:left="6025" w:hanging="360"/>
      </w:pPr>
      <w:rPr>
        <w:rFonts w:hint="default"/>
        <w:lang w:val="pt-PT" w:eastAsia="pt-PT" w:bidi="pt-PT"/>
      </w:rPr>
    </w:lvl>
    <w:lvl w:ilvl="7" w:tplc="20F6F67E">
      <w:numFmt w:val="bullet"/>
      <w:lvlText w:val="•"/>
      <w:lvlJc w:val="left"/>
      <w:pPr>
        <w:ind w:left="7010" w:hanging="360"/>
      </w:pPr>
      <w:rPr>
        <w:rFonts w:hint="default"/>
        <w:lang w:val="pt-PT" w:eastAsia="pt-PT" w:bidi="pt-PT"/>
      </w:rPr>
    </w:lvl>
    <w:lvl w:ilvl="8" w:tplc="E15AC694">
      <w:numFmt w:val="bullet"/>
      <w:lvlText w:val="•"/>
      <w:lvlJc w:val="left"/>
      <w:pPr>
        <w:ind w:left="7996" w:hanging="360"/>
      </w:pPr>
      <w:rPr>
        <w:rFonts w:hint="default"/>
        <w:lang w:val="pt-PT" w:eastAsia="pt-PT" w:bidi="pt-PT"/>
      </w:rPr>
    </w:lvl>
  </w:abstractNum>
  <w:abstractNum w:abstractNumId="8">
    <w:nsid w:val="6C1650B1"/>
    <w:multiLevelType w:val="hybridMultilevel"/>
    <w:tmpl w:val="2F845490"/>
    <w:lvl w:ilvl="0" w:tplc="04160017">
      <w:start w:val="1"/>
      <w:numFmt w:val="lowerLetter"/>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7C3C6E64"/>
    <w:multiLevelType w:val="multilevel"/>
    <w:tmpl w:val="99B0A184"/>
    <w:lvl w:ilvl="0">
      <w:start w:val="1"/>
      <w:numFmt w:val="decimal"/>
      <w:lvlText w:val="%1."/>
      <w:lvlJc w:val="left"/>
      <w:pPr>
        <w:ind w:left="585" w:hanging="58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0">
    <w:nsid w:val="7F232F31"/>
    <w:multiLevelType w:val="hybridMultilevel"/>
    <w:tmpl w:val="50E834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7"/>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6BD"/>
    <w:rsid w:val="0008496E"/>
    <w:rsid w:val="00086659"/>
    <w:rsid w:val="000A23F9"/>
    <w:rsid w:val="00136E1B"/>
    <w:rsid w:val="001856EF"/>
    <w:rsid w:val="002061F3"/>
    <w:rsid w:val="002D0FE4"/>
    <w:rsid w:val="0033784E"/>
    <w:rsid w:val="003E6BB4"/>
    <w:rsid w:val="00493262"/>
    <w:rsid w:val="004A35C7"/>
    <w:rsid w:val="004F5B82"/>
    <w:rsid w:val="0050451C"/>
    <w:rsid w:val="00586E43"/>
    <w:rsid w:val="0060069D"/>
    <w:rsid w:val="0060755C"/>
    <w:rsid w:val="00616F21"/>
    <w:rsid w:val="006D6715"/>
    <w:rsid w:val="00706B40"/>
    <w:rsid w:val="00726094"/>
    <w:rsid w:val="00787D83"/>
    <w:rsid w:val="007C274D"/>
    <w:rsid w:val="008166AE"/>
    <w:rsid w:val="00822D4B"/>
    <w:rsid w:val="00880099"/>
    <w:rsid w:val="008920E7"/>
    <w:rsid w:val="008A7C23"/>
    <w:rsid w:val="008D4E44"/>
    <w:rsid w:val="009235F6"/>
    <w:rsid w:val="00940E6A"/>
    <w:rsid w:val="009A1DF4"/>
    <w:rsid w:val="00AA02AC"/>
    <w:rsid w:val="00AB2455"/>
    <w:rsid w:val="00B01BB7"/>
    <w:rsid w:val="00B14611"/>
    <w:rsid w:val="00B43D3E"/>
    <w:rsid w:val="00B86501"/>
    <w:rsid w:val="00C53A64"/>
    <w:rsid w:val="00C55863"/>
    <w:rsid w:val="00C80180"/>
    <w:rsid w:val="00C97413"/>
    <w:rsid w:val="00CA36E6"/>
    <w:rsid w:val="00CE74DF"/>
    <w:rsid w:val="00D204E4"/>
    <w:rsid w:val="00D866BD"/>
    <w:rsid w:val="00DB2419"/>
    <w:rsid w:val="00E3494C"/>
    <w:rsid w:val="00E42D2A"/>
    <w:rsid w:val="00E472DA"/>
    <w:rsid w:val="00E57411"/>
    <w:rsid w:val="00EB49EA"/>
    <w:rsid w:val="00ED146E"/>
    <w:rsid w:val="00F145E5"/>
    <w:rsid w:val="00FB3690"/>
    <w:rsid w:val="00FB3FAE"/>
    <w:rsid w:val="00FF7F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71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tulo6">
    <w:name w:val="heading 6"/>
    <w:basedOn w:val="Normal"/>
    <w:next w:val="Normal"/>
    <w:link w:val="Ttulo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qFormat/>
    <w:pPr>
      <w:keepNext/>
      <w:spacing w:after="0" w:line="240" w:lineRule="auto"/>
      <w:outlineLvl w:val="7"/>
    </w:pPr>
    <w:rPr>
      <w:rFonts w:ascii="Times New Roman" w:eastAsia="Times New Roman" w:hAnsi="Times New Roman" w:cs="Times New Roman"/>
      <w:sz w:val="24"/>
      <w:szCs w:val="24"/>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paragraph" w:styleId="Cabealho">
    <w:name w:val="header"/>
    <w:basedOn w:val="Normal"/>
    <w:link w:val="CabealhoChar"/>
    <w:pPr>
      <w:tabs>
        <w:tab w:val="center" w:pos="4419"/>
        <w:tab w:val="right" w:pos="8838"/>
      </w:tabs>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rPr>
      <w:rFonts w:ascii="Times New Roman" w:eastAsia="Times New Roman" w:hAnsi="Times New Roman" w:cs="Times New Roman"/>
      <w:sz w:val="24"/>
      <w:szCs w:val="24"/>
      <w:lang w:eastAsia="pt-BR"/>
    </w:rPr>
  </w:style>
  <w:style w:type="character" w:styleId="Hyperlink">
    <w:name w:val="Hyperlink"/>
    <w:rPr>
      <w:color w:val="0000FF"/>
      <w:u w:val="single"/>
    </w:rPr>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 w:type="paragraph" w:styleId="Corpodetexto">
    <w:name w:val="Body Text"/>
    <w:basedOn w:val="Normal"/>
    <w:link w:val="CorpodetextoChar"/>
    <w:uiPriority w:val="1"/>
    <w:qFormat/>
    <w:pPr>
      <w:widowControl w:val="0"/>
      <w:autoSpaceDE w:val="0"/>
      <w:autoSpaceDN w:val="0"/>
      <w:spacing w:after="0" w:line="240" w:lineRule="auto"/>
    </w:pPr>
    <w:rPr>
      <w:rFonts w:ascii="Arial" w:eastAsia="Arial" w:hAnsi="Arial" w:cs="Arial"/>
      <w:sz w:val="24"/>
      <w:szCs w:val="24"/>
      <w:lang w:val="pt-PT" w:eastAsia="pt-PT" w:bidi="pt-PT"/>
    </w:rPr>
  </w:style>
  <w:style w:type="character" w:customStyle="1" w:styleId="CorpodetextoChar">
    <w:name w:val="Corpo de texto Char"/>
    <w:basedOn w:val="Fontepargpadro"/>
    <w:link w:val="Corpodetexto"/>
    <w:uiPriority w:val="1"/>
    <w:rPr>
      <w:rFonts w:ascii="Arial" w:eastAsia="Arial" w:hAnsi="Arial" w:cs="Arial"/>
      <w:sz w:val="24"/>
      <w:szCs w:val="24"/>
      <w:lang w:val="pt-PT" w:eastAsia="pt-PT" w:bidi="pt-PT"/>
    </w:rPr>
  </w:style>
  <w:style w:type="paragraph" w:styleId="PargrafodaLista">
    <w:name w:val="List Paragraph"/>
    <w:basedOn w:val="Normal"/>
    <w:uiPriority w:val="34"/>
    <w:qFormat/>
    <w:pPr>
      <w:widowControl w:val="0"/>
      <w:autoSpaceDE w:val="0"/>
      <w:autoSpaceDN w:val="0"/>
      <w:spacing w:after="0" w:line="240" w:lineRule="auto"/>
      <w:ind w:left="820" w:hanging="360"/>
      <w:jc w:val="both"/>
    </w:pPr>
    <w:rPr>
      <w:rFonts w:ascii="Arial" w:eastAsia="Arial" w:hAnsi="Arial" w:cs="Arial"/>
      <w:lang w:val="pt-PT" w:eastAsia="pt-PT" w:bidi="pt-PT"/>
    </w:rPr>
  </w:style>
  <w:style w:type="character" w:customStyle="1" w:styleId="Ttulo8Char">
    <w:name w:val="Título 8 Char"/>
    <w:basedOn w:val="Fontepargpadro"/>
    <w:link w:val="Ttulo8"/>
    <w:rPr>
      <w:rFonts w:ascii="Times New Roman" w:eastAsia="Times New Roman" w:hAnsi="Times New Roman" w:cs="Times New Roman"/>
      <w:sz w:val="24"/>
      <w:szCs w:val="24"/>
      <w:u w:val="single"/>
      <w:lang w:eastAsia="pt-BR"/>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pPr>
      <w:spacing w:after="0" w:line="240" w:lineRule="auto"/>
    </w:pPr>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style>
  <w:style w:type="paragraph" w:styleId="Corpodetexto2">
    <w:name w:val="Body Text 2"/>
    <w:basedOn w:val="Normal"/>
    <w:link w:val="Corpodetexto2Char"/>
    <w:uiPriority w:val="99"/>
    <w:semiHidden/>
    <w:unhideWhenUsed/>
    <w:pPr>
      <w:spacing w:after="120" w:line="480" w:lineRule="auto"/>
    </w:pPr>
  </w:style>
  <w:style w:type="character" w:customStyle="1" w:styleId="Corpodetexto2Char">
    <w:name w:val="Corpo de texto 2 Char"/>
    <w:basedOn w:val="Fontepargpadro"/>
    <w:link w:val="Corpodetexto2"/>
    <w:uiPriority w:val="99"/>
    <w:semiHidden/>
  </w:style>
  <w:style w:type="paragraph" w:styleId="Recuodecorpodetexto2">
    <w:name w:val="Body Text Indent 2"/>
    <w:basedOn w:val="Normal"/>
    <w:link w:val="Recuodecorpodetexto2Char"/>
    <w:uiPriority w:val="99"/>
    <w:semiHidden/>
    <w:unhideWhenUsed/>
    <w:pPr>
      <w:spacing w:after="120" w:line="480" w:lineRule="auto"/>
      <w:ind w:left="283"/>
    </w:pPr>
  </w:style>
  <w:style w:type="character" w:customStyle="1" w:styleId="Recuodecorpodetexto2Char">
    <w:name w:val="Recuo de corpo de texto 2 Char"/>
    <w:basedOn w:val="Fontepargpadro"/>
    <w:link w:val="Recuodecorpodetexto2"/>
    <w:uiPriority w:val="99"/>
    <w:semiHidden/>
  </w:style>
  <w:style w:type="numbering" w:customStyle="1" w:styleId="Semlista1">
    <w:name w:val="Sem lista1"/>
    <w:next w:val="Semlista"/>
    <w:uiPriority w:val="99"/>
    <w:semiHidden/>
    <w:unhideWhenUsed/>
  </w:style>
  <w:style w:type="table" w:styleId="Tabelacomgrade">
    <w:name w:val="Table Grid"/>
    <w:basedOn w:val="Tabelanormal"/>
    <w:uiPriority w:val="5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b/>
      <w:bCs/>
      <w:color w:val="4F81BD" w:themeColor="accent1"/>
    </w:rPr>
  </w:style>
  <w:style w:type="character" w:customStyle="1" w:styleId="Ttulo1Char">
    <w:name w:val="Título 1 Char"/>
    <w:basedOn w:val="Fontepargpadro"/>
    <w:link w:val="Ttulo1"/>
    <w:uiPriority w:val="9"/>
    <w:rPr>
      <w:rFonts w:asciiTheme="majorHAnsi" w:eastAsiaTheme="majorEastAsia" w:hAnsiTheme="majorHAnsi" w:cstheme="majorBidi"/>
      <w:b/>
      <w:bCs/>
      <w:color w:val="365F91" w:themeColor="accent1" w:themeShade="BF"/>
      <w:sz w:val="28"/>
      <w:szCs w:val="28"/>
    </w:rPr>
  </w:style>
  <w:style w:type="character" w:customStyle="1" w:styleId="Ttulo6Char">
    <w:name w:val="Título 6 Char"/>
    <w:basedOn w:val="Fontepargpadro"/>
    <w:link w:val="Ttulo6"/>
    <w:uiPriority w:val="9"/>
    <w:semiHidden/>
    <w:rPr>
      <w:rFonts w:asciiTheme="majorHAnsi" w:eastAsiaTheme="majorEastAsia" w:hAnsiTheme="majorHAnsi" w:cstheme="majorBidi"/>
      <w:i/>
      <w:iCs/>
      <w:color w:val="243F60" w:themeColor="accent1" w:themeShade="7F"/>
    </w:rPr>
  </w:style>
  <w:style w:type="numbering" w:customStyle="1" w:styleId="Semlista2">
    <w:name w:val="Sem lista2"/>
    <w:next w:val="Semlista"/>
    <w:uiPriority w:val="99"/>
    <w:semiHidden/>
    <w:unhideWhenUsed/>
  </w:style>
  <w:style w:type="character" w:customStyle="1" w:styleId="HiperlinkVisitado1">
    <w:name w:val="HiperlinkVisitado1"/>
    <w:basedOn w:val="Fontepargpadro"/>
    <w:uiPriority w:val="99"/>
    <w:semiHidden/>
    <w:unhideWhenUsed/>
    <w:rPr>
      <w:color w:val="800080"/>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sz w:val="16"/>
      <w:szCs w:val="16"/>
    </w:rPr>
  </w:style>
  <w:style w:type="table" w:customStyle="1" w:styleId="Tabelacomgrade1">
    <w:name w:val="Tabela com grade1"/>
    <w:basedOn w:val="Tabelanormal"/>
    <w:next w:val="Tabelacomgrade"/>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unhideWhenUs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Ttulo6">
    <w:name w:val="heading 6"/>
    <w:basedOn w:val="Normal"/>
    <w:next w:val="Normal"/>
    <w:link w:val="Ttulo6Char"/>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qFormat/>
    <w:pPr>
      <w:keepNext/>
      <w:spacing w:after="0" w:line="240" w:lineRule="auto"/>
      <w:outlineLvl w:val="7"/>
    </w:pPr>
    <w:rPr>
      <w:rFonts w:ascii="Times New Roman" w:eastAsia="Times New Roman" w:hAnsi="Times New Roman" w:cs="Times New Roman"/>
      <w:sz w:val="24"/>
      <w:szCs w:val="24"/>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paragraph" w:styleId="Cabealho">
    <w:name w:val="header"/>
    <w:basedOn w:val="Normal"/>
    <w:link w:val="CabealhoChar"/>
    <w:pPr>
      <w:tabs>
        <w:tab w:val="center" w:pos="4419"/>
        <w:tab w:val="right" w:pos="8838"/>
      </w:tabs>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rPr>
      <w:rFonts w:ascii="Times New Roman" w:eastAsia="Times New Roman" w:hAnsi="Times New Roman" w:cs="Times New Roman"/>
      <w:sz w:val="24"/>
      <w:szCs w:val="24"/>
      <w:lang w:eastAsia="pt-BR"/>
    </w:rPr>
  </w:style>
  <w:style w:type="character" w:styleId="Hyperlink">
    <w:name w:val="Hyperlink"/>
    <w:rPr>
      <w:color w:val="0000FF"/>
      <w:u w:val="single"/>
    </w:rPr>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 w:type="paragraph" w:styleId="Corpodetexto">
    <w:name w:val="Body Text"/>
    <w:basedOn w:val="Normal"/>
    <w:link w:val="CorpodetextoChar"/>
    <w:uiPriority w:val="1"/>
    <w:qFormat/>
    <w:pPr>
      <w:widowControl w:val="0"/>
      <w:autoSpaceDE w:val="0"/>
      <w:autoSpaceDN w:val="0"/>
      <w:spacing w:after="0" w:line="240" w:lineRule="auto"/>
    </w:pPr>
    <w:rPr>
      <w:rFonts w:ascii="Arial" w:eastAsia="Arial" w:hAnsi="Arial" w:cs="Arial"/>
      <w:sz w:val="24"/>
      <w:szCs w:val="24"/>
      <w:lang w:val="pt-PT" w:eastAsia="pt-PT" w:bidi="pt-PT"/>
    </w:rPr>
  </w:style>
  <w:style w:type="character" w:customStyle="1" w:styleId="CorpodetextoChar">
    <w:name w:val="Corpo de texto Char"/>
    <w:basedOn w:val="Fontepargpadro"/>
    <w:link w:val="Corpodetexto"/>
    <w:uiPriority w:val="1"/>
    <w:rPr>
      <w:rFonts w:ascii="Arial" w:eastAsia="Arial" w:hAnsi="Arial" w:cs="Arial"/>
      <w:sz w:val="24"/>
      <w:szCs w:val="24"/>
      <w:lang w:val="pt-PT" w:eastAsia="pt-PT" w:bidi="pt-PT"/>
    </w:rPr>
  </w:style>
  <w:style w:type="paragraph" w:styleId="PargrafodaLista">
    <w:name w:val="List Paragraph"/>
    <w:basedOn w:val="Normal"/>
    <w:uiPriority w:val="34"/>
    <w:qFormat/>
    <w:pPr>
      <w:widowControl w:val="0"/>
      <w:autoSpaceDE w:val="0"/>
      <w:autoSpaceDN w:val="0"/>
      <w:spacing w:after="0" w:line="240" w:lineRule="auto"/>
      <w:ind w:left="820" w:hanging="360"/>
      <w:jc w:val="both"/>
    </w:pPr>
    <w:rPr>
      <w:rFonts w:ascii="Arial" w:eastAsia="Arial" w:hAnsi="Arial" w:cs="Arial"/>
      <w:lang w:val="pt-PT" w:eastAsia="pt-PT" w:bidi="pt-PT"/>
    </w:rPr>
  </w:style>
  <w:style w:type="character" w:customStyle="1" w:styleId="Ttulo8Char">
    <w:name w:val="Título 8 Char"/>
    <w:basedOn w:val="Fontepargpadro"/>
    <w:link w:val="Ttulo8"/>
    <w:rPr>
      <w:rFonts w:ascii="Times New Roman" w:eastAsia="Times New Roman" w:hAnsi="Times New Roman" w:cs="Times New Roman"/>
      <w:sz w:val="24"/>
      <w:szCs w:val="24"/>
      <w:u w:val="single"/>
      <w:lang w:eastAsia="pt-BR"/>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pPr>
      <w:spacing w:after="0" w:line="240" w:lineRule="auto"/>
    </w:pPr>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style>
  <w:style w:type="paragraph" w:styleId="Corpodetexto2">
    <w:name w:val="Body Text 2"/>
    <w:basedOn w:val="Normal"/>
    <w:link w:val="Corpodetexto2Char"/>
    <w:uiPriority w:val="99"/>
    <w:semiHidden/>
    <w:unhideWhenUsed/>
    <w:pPr>
      <w:spacing w:after="120" w:line="480" w:lineRule="auto"/>
    </w:pPr>
  </w:style>
  <w:style w:type="character" w:customStyle="1" w:styleId="Corpodetexto2Char">
    <w:name w:val="Corpo de texto 2 Char"/>
    <w:basedOn w:val="Fontepargpadro"/>
    <w:link w:val="Corpodetexto2"/>
    <w:uiPriority w:val="99"/>
    <w:semiHidden/>
  </w:style>
  <w:style w:type="paragraph" w:styleId="Recuodecorpodetexto2">
    <w:name w:val="Body Text Indent 2"/>
    <w:basedOn w:val="Normal"/>
    <w:link w:val="Recuodecorpodetexto2Char"/>
    <w:uiPriority w:val="99"/>
    <w:semiHidden/>
    <w:unhideWhenUsed/>
    <w:pPr>
      <w:spacing w:after="120" w:line="480" w:lineRule="auto"/>
      <w:ind w:left="283"/>
    </w:pPr>
  </w:style>
  <w:style w:type="character" w:customStyle="1" w:styleId="Recuodecorpodetexto2Char">
    <w:name w:val="Recuo de corpo de texto 2 Char"/>
    <w:basedOn w:val="Fontepargpadro"/>
    <w:link w:val="Recuodecorpodetexto2"/>
    <w:uiPriority w:val="99"/>
    <w:semiHidden/>
  </w:style>
  <w:style w:type="numbering" w:customStyle="1" w:styleId="Semlista1">
    <w:name w:val="Sem lista1"/>
    <w:next w:val="Semlista"/>
    <w:uiPriority w:val="99"/>
    <w:semiHidden/>
    <w:unhideWhenUsed/>
  </w:style>
  <w:style w:type="table" w:styleId="Tabelacomgrade">
    <w:name w:val="Table Grid"/>
    <w:basedOn w:val="Tabelanormal"/>
    <w:uiPriority w:val="59"/>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b/>
      <w:bCs/>
      <w:color w:val="4F81BD" w:themeColor="accent1"/>
    </w:rPr>
  </w:style>
  <w:style w:type="character" w:customStyle="1" w:styleId="Ttulo1Char">
    <w:name w:val="Título 1 Char"/>
    <w:basedOn w:val="Fontepargpadro"/>
    <w:link w:val="Ttulo1"/>
    <w:uiPriority w:val="9"/>
    <w:rPr>
      <w:rFonts w:asciiTheme="majorHAnsi" w:eastAsiaTheme="majorEastAsia" w:hAnsiTheme="majorHAnsi" w:cstheme="majorBidi"/>
      <w:b/>
      <w:bCs/>
      <w:color w:val="365F91" w:themeColor="accent1" w:themeShade="BF"/>
      <w:sz w:val="28"/>
      <w:szCs w:val="28"/>
    </w:rPr>
  </w:style>
  <w:style w:type="character" w:customStyle="1" w:styleId="Ttulo6Char">
    <w:name w:val="Título 6 Char"/>
    <w:basedOn w:val="Fontepargpadro"/>
    <w:link w:val="Ttulo6"/>
    <w:uiPriority w:val="9"/>
    <w:semiHidden/>
    <w:rPr>
      <w:rFonts w:asciiTheme="majorHAnsi" w:eastAsiaTheme="majorEastAsia" w:hAnsiTheme="majorHAnsi" w:cstheme="majorBidi"/>
      <w:i/>
      <w:iCs/>
      <w:color w:val="243F60" w:themeColor="accent1" w:themeShade="7F"/>
    </w:rPr>
  </w:style>
  <w:style w:type="numbering" w:customStyle="1" w:styleId="Semlista2">
    <w:name w:val="Sem lista2"/>
    <w:next w:val="Semlista"/>
    <w:uiPriority w:val="99"/>
    <w:semiHidden/>
    <w:unhideWhenUsed/>
  </w:style>
  <w:style w:type="character" w:customStyle="1" w:styleId="HiperlinkVisitado1">
    <w:name w:val="HiperlinkVisitado1"/>
    <w:basedOn w:val="Fontepargpadro"/>
    <w:uiPriority w:val="99"/>
    <w:semiHidden/>
    <w:unhideWhenUsed/>
    <w:rPr>
      <w:color w:val="800080"/>
      <w:u w:val="single"/>
    </w:rPr>
  </w:style>
  <w:style w:type="character" w:styleId="HiperlinkVisitado">
    <w:name w:val="FollowedHyperlink"/>
    <w:basedOn w:val="Fontepargpadro"/>
    <w:uiPriority w:val="99"/>
    <w:semiHidden/>
    <w:unhideWhenUsed/>
    <w:rPr>
      <w:color w:val="800080" w:themeColor="followedHyperlink"/>
      <w:u w:val="single"/>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sz w:val="16"/>
      <w:szCs w:val="16"/>
    </w:rPr>
  </w:style>
  <w:style w:type="table" w:customStyle="1" w:styleId="Tabelacomgrade1">
    <w:name w:val="Tabela com grade1"/>
    <w:basedOn w:val="Tabelanormal"/>
    <w:next w:val="Tabelacomgrade"/>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unhideWhenUs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3359">
      <w:bodyDiv w:val="1"/>
      <w:marLeft w:val="0"/>
      <w:marRight w:val="0"/>
      <w:marTop w:val="0"/>
      <w:marBottom w:val="0"/>
      <w:divBdr>
        <w:top w:val="none" w:sz="0" w:space="0" w:color="auto"/>
        <w:left w:val="none" w:sz="0" w:space="0" w:color="auto"/>
        <w:bottom w:val="none" w:sz="0" w:space="0" w:color="auto"/>
        <w:right w:val="none" w:sz="0" w:space="0" w:color="auto"/>
      </w:divBdr>
    </w:div>
    <w:div w:id="53092639">
      <w:bodyDiv w:val="1"/>
      <w:marLeft w:val="0"/>
      <w:marRight w:val="0"/>
      <w:marTop w:val="0"/>
      <w:marBottom w:val="0"/>
      <w:divBdr>
        <w:top w:val="none" w:sz="0" w:space="0" w:color="auto"/>
        <w:left w:val="none" w:sz="0" w:space="0" w:color="auto"/>
        <w:bottom w:val="none" w:sz="0" w:space="0" w:color="auto"/>
        <w:right w:val="none" w:sz="0" w:space="0" w:color="auto"/>
      </w:divBdr>
    </w:div>
    <w:div w:id="84614879">
      <w:bodyDiv w:val="1"/>
      <w:marLeft w:val="0"/>
      <w:marRight w:val="0"/>
      <w:marTop w:val="0"/>
      <w:marBottom w:val="0"/>
      <w:divBdr>
        <w:top w:val="none" w:sz="0" w:space="0" w:color="auto"/>
        <w:left w:val="none" w:sz="0" w:space="0" w:color="auto"/>
        <w:bottom w:val="none" w:sz="0" w:space="0" w:color="auto"/>
        <w:right w:val="none" w:sz="0" w:space="0" w:color="auto"/>
      </w:divBdr>
    </w:div>
    <w:div w:id="96877049">
      <w:bodyDiv w:val="1"/>
      <w:marLeft w:val="0"/>
      <w:marRight w:val="0"/>
      <w:marTop w:val="0"/>
      <w:marBottom w:val="0"/>
      <w:divBdr>
        <w:top w:val="none" w:sz="0" w:space="0" w:color="auto"/>
        <w:left w:val="none" w:sz="0" w:space="0" w:color="auto"/>
        <w:bottom w:val="none" w:sz="0" w:space="0" w:color="auto"/>
        <w:right w:val="none" w:sz="0" w:space="0" w:color="auto"/>
      </w:divBdr>
    </w:div>
    <w:div w:id="138233534">
      <w:bodyDiv w:val="1"/>
      <w:marLeft w:val="0"/>
      <w:marRight w:val="0"/>
      <w:marTop w:val="0"/>
      <w:marBottom w:val="0"/>
      <w:divBdr>
        <w:top w:val="none" w:sz="0" w:space="0" w:color="auto"/>
        <w:left w:val="none" w:sz="0" w:space="0" w:color="auto"/>
        <w:bottom w:val="none" w:sz="0" w:space="0" w:color="auto"/>
        <w:right w:val="none" w:sz="0" w:space="0" w:color="auto"/>
      </w:divBdr>
    </w:div>
    <w:div w:id="271406000">
      <w:bodyDiv w:val="1"/>
      <w:marLeft w:val="0"/>
      <w:marRight w:val="0"/>
      <w:marTop w:val="0"/>
      <w:marBottom w:val="0"/>
      <w:divBdr>
        <w:top w:val="none" w:sz="0" w:space="0" w:color="auto"/>
        <w:left w:val="none" w:sz="0" w:space="0" w:color="auto"/>
        <w:bottom w:val="none" w:sz="0" w:space="0" w:color="auto"/>
        <w:right w:val="none" w:sz="0" w:space="0" w:color="auto"/>
      </w:divBdr>
    </w:div>
    <w:div w:id="360714771">
      <w:bodyDiv w:val="1"/>
      <w:marLeft w:val="0"/>
      <w:marRight w:val="0"/>
      <w:marTop w:val="0"/>
      <w:marBottom w:val="0"/>
      <w:divBdr>
        <w:top w:val="none" w:sz="0" w:space="0" w:color="auto"/>
        <w:left w:val="none" w:sz="0" w:space="0" w:color="auto"/>
        <w:bottom w:val="none" w:sz="0" w:space="0" w:color="auto"/>
        <w:right w:val="none" w:sz="0" w:space="0" w:color="auto"/>
      </w:divBdr>
    </w:div>
    <w:div w:id="377751865">
      <w:bodyDiv w:val="1"/>
      <w:marLeft w:val="0"/>
      <w:marRight w:val="0"/>
      <w:marTop w:val="0"/>
      <w:marBottom w:val="0"/>
      <w:divBdr>
        <w:top w:val="none" w:sz="0" w:space="0" w:color="auto"/>
        <w:left w:val="none" w:sz="0" w:space="0" w:color="auto"/>
        <w:bottom w:val="none" w:sz="0" w:space="0" w:color="auto"/>
        <w:right w:val="none" w:sz="0" w:space="0" w:color="auto"/>
      </w:divBdr>
    </w:div>
    <w:div w:id="451944102">
      <w:bodyDiv w:val="1"/>
      <w:marLeft w:val="0"/>
      <w:marRight w:val="0"/>
      <w:marTop w:val="0"/>
      <w:marBottom w:val="0"/>
      <w:divBdr>
        <w:top w:val="none" w:sz="0" w:space="0" w:color="auto"/>
        <w:left w:val="none" w:sz="0" w:space="0" w:color="auto"/>
        <w:bottom w:val="none" w:sz="0" w:space="0" w:color="auto"/>
        <w:right w:val="none" w:sz="0" w:space="0" w:color="auto"/>
      </w:divBdr>
    </w:div>
    <w:div w:id="557590910">
      <w:bodyDiv w:val="1"/>
      <w:marLeft w:val="0"/>
      <w:marRight w:val="0"/>
      <w:marTop w:val="0"/>
      <w:marBottom w:val="0"/>
      <w:divBdr>
        <w:top w:val="none" w:sz="0" w:space="0" w:color="auto"/>
        <w:left w:val="none" w:sz="0" w:space="0" w:color="auto"/>
        <w:bottom w:val="none" w:sz="0" w:space="0" w:color="auto"/>
        <w:right w:val="none" w:sz="0" w:space="0" w:color="auto"/>
      </w:divBdr>
    </w:div>
    <w:div w:id="558135022">
      <w:bodyDiv w:val="1"/>
      <w:marLeft w:val="0"/>
      <w:marRight w:val="0"/>
      <w:marTop w:val="0"/>
      <w:marBottom w:val="0"/>
      <w:divBdr>
        <w:top w:val="none" w:sz="0" w:space="0" w:color="auto"/>
        <w:left w:val="none" w:sz="0" w:space="0" w:color="auto"/>
        <w:bottom w:val="none" w:sz="0" w:space="0" w:color="auto"/>
        <w:right w:val="none" w:sz="0" w:space="0" w:color="auto"/>
      </w:divBdr>
    </w:div>
    <w:div w:id="645739010">
      <w:bodyDiv w:val="1"/>
      <w:marLeft w:val="0"/>
      <w:marRight w:val="0"/>
      <w:marTop w:val="0"/>
      <w:marBottom w:val="0"/>
      <w:divBdr>
        <w:top w:val="none" w:sz="0" w:space="0" w:color="auto"/>
        <w:left w:val="none" w:sz="0" w:space="0" w:color="auto"/>
        <w:bottom w:val="none" w:sz="0" w:space="0" w:color="auto"/>
        <w:right w:val="none" w:sz="0" w:space="0" w:color="auto"/>
      </w:divBdr>
    </w:div>
    <w:div w:id="811630170">
      <w:bodyDiv w:val="1"/>
      <w:marLeft w:val="0"/>
      <w:marRight w:val="0"/>
      <w:marTop w:val="0"/>
      <w:marBottom w:val="0"/>
      <w:divBdr>
        <w:top w:val="none" w:sz="0" w:space="0" w:color="auto"/>
        <w:left w:val="none" w:sz="0" w:space="0" w:color="auto"/>
        <w:bottom w:val="none" w:sz="0" w:space="0" w:color="auto"/>
        <w:right w:val="none" w:sz="0" w:space="0" w:color="auto"/>
      </w:divBdr>
    </w:div>
    <w:div w:id="1002274421">
      <w:bodyDiv w:val="1"/>
      <w:marLeft w:val="0"/>
      <w:marRight w:val="0"/>
      <w:marTop w:val="0"/>
      <w:marBottom w:val="0"/>
      <w:divBdr>
        <w:top w:val="none" w:sz="0" w:space="0" w:color="auto"/>
        <w:left w:val="none" w:sz="0" w:space="0" w:color="auto"/>
        <w:bottom w:val="none" w:sz="0" w:space="0" w:color="auto"/>
        <w:right w:val="none" w:sz="0" w:space="0" w:color="auto"/>
      </w:divBdr>
    </w:div>
    <w:div w:id="1004355822">
      <w:bodyDiv w:val="1"/>
      <w:marLeft w:val="0"/>
      <w:marRight w:val="0"/>
      <w:marTop w:val="0"/>
      <w:marBottom w:val="0"/>
      <w:divBdr>
        <w:top w:val="none" w:sz="0" w:space="0" w:color="auto"/>
        <w:left w:val="none" w:sz="0" w:space="0" w:color="auto"/>
        <w:bottom w:val="none" w:sz="0" w:space="0" w:color="auto"/>
        <w:right w:val="none" w:sz="0" w:space="0" w:color="auto"/>
      </w:divBdr>
    </w:div>
    <w:div w:id="1039089141">
      <w:bodyDiv w:val="1"/>
      <w:marLeft w:val="0"/>
      <w:marRight w:val="0"/>
      <w:marTop w:val="0"/>
      <w:marBottom w:val="0"/>
      <w:divBdr>
        <w:top w:val="none" w:sz="0" w:space="0" w:color="auto"/>
        <w:left w:val="none" w:sz="0" w:space="0" w:color="auto"/>
        <w:bottom w:val="none" w:sz="0" w:space="0" w:color="auto"/>
        <w:right w:val="none" w:sz="0" w:space="0" w:color="auto"/>
      </w:divBdr>
    </w:div>
    <w:div w:id="1108890534">
      <w:bodyDiv w:val="1"/>
      <w:marLeft w:val="0"/>
      <w:marRight w:val="0"/>
      <w:marTop w:val="0"/>
      <w:marBottom w:val="0"/>
      <w:divBdr>
        <w:top w:val="none" w:sz="0" w:space="0" w:color="auto"/>
        <w:left w:val="none" w:sz="0" w:space="0" w:color="auto"/>
        <w:bottom w:val="none" w:sz="0" w:space="0" w:color="auto"/>
        <w:right w:val="none" w:sz="0" w:space="0" w:color="auto"/>
      </w:divBdr>
    </w:div>
    <w:div w:id="1171139439">
      <w:bodyDiv w:val="1"/>
      <w:marLeft w:val="0"/>
      <w:marRight w:val="0"/>
      <w:marTop w:val="0"/>
      <w:marBottom w:val="0"/>
      <w:divBdr>
        <w:top w:val="none" w:sz="0" w:space="0" w:color="auto"/>
        <w:left w:val="none" w:sz="0" w:space="0" w:color="auto"/>
        <w:bottom w:val="none" w:sz="0" w:space="0" w:color="auto"/>
        <w:right w:val="none" w:sz="0" w:space="0" w:color="auto"/>
      </w:divBdr>
    </w:div>
    <w:div w:id="1283079100">
      <w:bodyDiv w:val="1"/>
      <w:marLeft w:val="0"/>
      <w:marRight w:val="0"/>
      <w:marTop w:val="0"/>
      <w:marBottom w:val="0"/>
      <w:divBdr>
        <w:top w:val="none" w:sz="0" w:space="0" w:color="auto"/>
        <w:left w:val="none" w:sz="0" w:space="0" w:color="auto"/>
        <w:bottom w:val="none" w:sz="0" w:space="0" w:color="auto"/>
        <w:right w:val="none" w:sz="0" w:space="0" w:color="auto"/>
      </w:divBdr>
    </w:div>
    <w:div w:id="1365593649">
      <w:bodyDiv w:val="1"/>
      <w:marLeft w:val="0"/>
      <w:marRight w:val="0"/>
      <w:marTop w:val="0"/>
      <w:marBottom w:val="0"/>
      <w:divBdr>
        <w:top w:val="none" w:sz="0" w:space="0" w:color="auto"/>
        <w:left w:val="none" w:sz="0" w:space="0" w:color="auto"/>
        <w:bottom w:val="none" w:sz="0" w:space="0" w:color="auto"/>
        <w:right w:val="none" w:sz="0" w:space="0" w:color="auto"/>
      </w:divBdr>
    </w:div>
    <w:div w:id="1385060359">
      <w:bodyDiv w:val="1"/>
      <w:marLeft w:val="0"/>
      <w:marRight w:val="0"/>
      <w:marTop w:val="0"/>
      <w:marBottom w:val="0"/>
      <w:divBdr>
        <w:top w:val="none" w:sz="0" w:space="0" w:color="auto"/>
        <w:left w:val="none" w:sz="0" w:space="0" w:color="auto"/>
        <w:bottom w:val="none" w:sz="0" w:space="0" w:color="auto"/>
        <w:right w:val="none" w:sz="0" w:space="0" w:color="auto"/>
      </w:divBdr>
    </w:div>
    <w:div w:id="1438985393">
      <w:bodyDiv w:val="1"/>
      <w:marLeft w:val="0"/>
      <w:marRight w:val="0"/>
      <w:marTop w:val="0"/>
      <w:marBottom w:val="0"/>
      <w:divBdr>
        <w:top w:val="none" w:sz="0" w:space="0" w:color="auto"/>
        <w:left w:val="none" w:sz="0" w:space="0" w:color="auto"/>
        <w:bottom w:val="none" w:sz="0" w:space="0" w:color="auto"/>
        <w:right w:val="none" w:sz="0" w:space="0" w:color="auto"/>
      </w:divBdr>
    </w:div>
    <w:div w:id="1485930399">
      <w:bodyDiv w:val="1"/>
      <w:marLeft w:val="0"/>
      <w:marRight w:val="0"/>
      <w:marTop w:val="0"/>
      <w:marBottom w:val="0"/>
      <w:divBdr>
        <w:top w:val="none" w:sz="0" w:space="0" w:color="auto"/>
        <w:left w:val="none" w:sz="0" w:space="0" w:color="auto"/>
        <w:bottom w:val="none" w:sz="0" w:space="0" w:color="auto"/>
        <w:right w:val="none" w:sz="0" w:space="0" w:color="auto"/>
      </w:divBdr>
    </w:div>
    <w:div w:id="1497071430">
      <w:bodyDiv w:val="1"/>
      <w:marLeft w:val="0"/>
      <w:marRight w:val="0"/>
      <w:marTop w:val="0"/>
      <w:marBottom w:val="0"/>
      <w:divBdr>
        <w:top w:val="none" w:sz="0" w:space="0" w:color="auto"/>
        <w:left w:val="none" w:sz="0" w:space="0" w:color="auto"/>
        <w:bottom w:val="none" w:sz="0" w:space="0" w:color="auto"/>
        <w:right w:val="none" w:sz="0" w:space="0" w:color="auto"/>
      </w:divBdr>
    </w:div>
    <w:div w:id="1574315334">
      <w:bodyDiv w:val="1"/>
      <w:marLeft w:val="0"/>
      <w:marRight w:val="0"/>
      <w:marTop w:val="0"/>
      <w:marBottom w:val="0"/>
      <w:divBdr>
        <w:top w:val="none" w:sz="0" w:space="0" w:color="auto"/>
        <w:left w:val="none" w:sz="0" w:space="0" w:color="auto"/>
        <w:bottom w:val="none" w:sz="0" w:space="0" w:color="auto"/>
        <w:right w:val="none" w:sz="0" w:space="0" w:color="auto"/>
      </w:divBdr>
    </w:div>
    <w:div w:id="1580598118">
      <w:bodyDiv w:val="1"/>
      <w:marLeft w:val="0"/>
      <w:marRight w:val="0"/>
      <w:marTop w:val="0"/>
      <w:marBottom w:val="0"/>
      <w:divBdr>
        <w:top w:val="none" w:sz="0" w:space="0" w:color="auto"/>
        <w:left w:val="none" w:sz="0" w:space="0" w:color="auto"/>
        <w:bottom w:val="none" w:sz="0" w:space="0" w:color="auto"/>
        <w:right w:val="none" w:sz="0" w:space="0" w:color="auto"/>
      </w:divBdr>
    </w:div>
    <w:div w:id="1645163725">
      <w:bodyDiv w:val="1"/>
      <w:marLeft w:val="0"/>
      <w:marRight w:val="0"/>
      <w:marTop w:val="0"/>
      <w:marBottom w:val="0"/>
      <w:divBdr>
        <w:top w:val="none" w:sz="0" w:space="0" w:color="auto"/>
        <w:left w:val="none" w:sz="0" w:space="0" w:color="auto"/>
        <w:bottom w:val="none" w:sz="0" w:space="0" w:color="auto"/>
        <w:right w:val="none" w:sz="0" w:space="0" w:color="auto"/>
      </w:divBdr>
    </w:div>
    <w:div w:id="1698461547">
      <w:bodyDiv w:val="1"/>
      <w:marLeft w:val="0"/>
      <w:marRight w:val="0"/>
      <w:marTop w:val="0"/>
      <w:marBottom w:val="0"/>
      <w:divBdr>
        <w:top w:val="none" w:sz="0" w:space="0" w:color="auto"/>
        <w:left w:val="none" w:sz="0" w:space="0" w:color="auto"/>
        <w:bottom w:val="none" w:sz="0" w:space="0" w:color="auto"/>
        <w:right w:val="none" w:sz="0" w:space="0" w:color="auto"/>
      </w:divBdr>
    </w:div>
    <w:div w:id="1752118125">
      <w:bodyDiv w:val="1"/>
      <w:marLeft w:val="0"/>
      <w:marRight w:val="0"/>
      <w:marTop w:val="0"/>
      <w:marBottom w:val="0"/>
      <w:divBdr>
        <w:top w:val="none" w:sz="0" w:space="0" w:color="auto"/>
        <w:left w:val="none" w:sz="0" w:space="0" w:color="auto"/>
        <w:bottom w:val="none" w:sz="0" w:space="0" w:color="auto"/>
        <w:right w:val="none" w:sz="0" w:space="0" w:color="auto"/>
      </w:divBdr>
    </w:div>
    <w:div w:id="1774207961">
      <w:bodyDiv w:val="1"/>
      <w:marLeft w:val="0"/>
      <w:marRight w:val="0"/>
      <w:marTop w:val="0"/>
      <w:marBottom w:val="0"/>
      <w:divBdr>
        <w:top w:val="none" w:sz="0" w:space="0" w:color="auto"/>
        <w:left w:val="none" w:sz="0" w:space="0" w:color="auto"/>
        <w:bottom w:val="none" w:sz="0" w:space="0" w:color="auto"/>
        <w:right w:val="none" w:sz="0" w:space="0" w:color="auto"/>
      </w:divBdr>
    </w:div>
    <w:div w:id="1809854978">
      <w:bodyDiv w:val="1"/>
      <w:marLeft w:val="0"/>
      <w:marRight w:val="0"/>
      <w:marTop w:val="0"/>
      <w:marBottom w:val="0"/>
      <w:divBdr>
        <w:top w:val="none" w:sz="0" w:space="0" w:color="auto"/>
        <w:left w:val="none" w:sz="0" w:space="0" w:color="auto"/>
        <w:bottom w:val="none" w:sz="0" w:space="0" w:color="auto"/>
        <w:right w:val="none" w:sz="0" w:space="0" w:color="auto"/>
      </w:divBdr>
    </w:div>
    <w:div w:id="1875071124">
      <w:bodyDiv w:val="1"/>
      <w:marLeft w:val="0"/>
      <w:marRight w:val="0"/>
      <w:marTop w:val="0"/>
      <w:marBottom w:val="0"/>
      <w:divBdr>
        <w:top w:val="none" w:sz="0" w:space="0" w:color="auto"/>
        <w:left w:val="none" w:sz="0" w:space="0" w:color="auto"/>
        <w:bottom w:val="none" w:sz="0" w:space="0" w:color="auto"/>
        <w:right w:val="none" w:sz="0" w:space="0" w:color="auto"/>
      </w:divBdr>
    </w:div>
    <w:div w:id="1880899529">
      <w:bodyDiv w:val="1"/>
      <w:marLeft w:val="0"/>
      <w:marRight w:val="0"/>
      <w:marTop w:val="0"/>
      <w:marBottom w:val="0"/>
      <w:divBdr>
        <w:top w:val="none" w:sz="0" w:space="0" w:color="auto"/>
        <w:left w:val="none" w:sz="0" w:space="0" w:color="auto"/>
        <w:bottom w:val="none" w:sz="0" w:space="0" w:color="auto"/>
        <w:right w:val="none" w:sz="0" w:space="0" w:color="auto"/>
      </w:divBdr>
    </w:div>
    <w:div w:id="1922787576">
      <w:bodyDiv w:val="1"/>
      <w:marLeft w:val="0"/>
      <w:marRight w:val="0"/>
      <w:marTop w:val="0"/>
      <w:marBottom w:val="0"/>
      <w:divBdr>
        <w:top w:val="none" w:sz="0" w:space="0" w:color="auto"/>
        <w:left w:val="none" w:sz="0" w:space="0" w:color="auto"/>
        <w:bottom w:val="none" w:sz="0" w:space="0" w:color="auto"/>
        <w:right w:val="none" w:sz="0" w:space="0" w:color="auto"/>
      </w:divBdr>
    </w:div>
    <w:div w:id="1928880031">
      <w:bodyDiv w:val="1"/>
      <w:marLeft w:val="0"/>
      <w:marRight w:val="0"/>
      <w:marTop w:val="0"/>
      <w:marBottom w:val="0"/>
      <w:divBdr>
        <w:top w:val="none" w:sz="0" w:space="0" w:color="auto"/>
        <w:left w:val="none" w:sz="0" w:space="0" w:color="auto"/>
        <w:bottom w:val="none" w:sz="0" w:space="0" w:color="auto"/>
        <w:right w:val="none" w:sz="0" w:space="0" w:color="auto"/>
      </w:divBdr>
    </w:div>
    <w:div w:id="1935438712">
      <w:bodyDiv w:val="1"/>
      <w:marLeft w:val="0"/>
      <w:marRight w:val="0"/>
      <w:marTop w:val="0"/>
      <w:marBottom w:val="0"/>
      <w:divBdr>
        <w:top w:val="none" w:sz="0" w:space="0" w:color="auto"/>
        <w:left w:val="none" w:sz="0" w:space="0" w:color="auto"/>
        <w:bottom w:val="none" w:sz="0" w:space="0" w:color="auto"/>
        <w:right w:val="none" w:sz="0" w:space="0" w:color="auto"/>
      </w:divBdr>
    </w:div>
    <w:div w:id="2022731273">
      <w:bodyDiv w:val="1"/>
      <w:marLeft w:val="0"/>
      <w:marRight w:val="0"/>
      <w:marTop w:val="0"/>
      <w:marBottom w:val="0"/>
      <w:divBdr>
        <w:top w:val="none" w:sz="0" w:space="0" w:color="auto"/>
        <w:left w:val="none" w:sz="0" w:space="0" w:color="auto"/>
        <w:bottom w:val="none" w:sz="0" w:space="0" w:color="auto"/>
        <w:right w:val="none" w:sz="0" w:space="0" w:color="auto"/>
      </w:divBdr>
    </w:div>
    <w:div w:id="207770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ECEE0-3153-410D-9D27-8566DCD5C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801</Words>
  <Characters>4329</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PM Lucélia</Company>
  <LinksUpToDate>false</LinksUpToDate>
  <CharactersWithSpaces>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TAKARA</dc:creator>
  <cp:lastModifiedBy>Administração</cp:lastModifiedBy>
  <cp:revision>9</cp:revision>
  <cp:lastPrinted>2023-09-04T13:33:00Z</cp:lastPrinted>
  <dcterms:created xsi:type="dcterms:W3CDTF">2023-10-24T16:46:00Z</dcterms:created>
  <dcterms:modified xsi:type="dcterms:W3CDTF">2023-10-24T16:53:00Z</dcterms:modified>
</cp:coreProperties>
</file>